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3290" w14:textId="77777777" w:rsidR="00FB688C" w:rsidRPr="00FB688C" w:rsidRDefault="00FB688C" w:rsidP="008D3F18">
      <w:pPr>
        <w:shd w:val="clear" w:color="auto" w:fill="FFFFFF"/>
        <w:spacing w:after="150" w:line="360" w:lineRule="auto"/>
        <w:outlineLvl w:val="1"/>
        <w:rPr>
          <w:rFonts w:eastAsia="Times New Roman" w:cs="Calibri"/>
          <w:color w:val="00A1E5"/>
        </w:rPr>
      </w:pPr>
    </w:p>
    <w:p w14:paraId="7437BA17" w14:textId="77777777" w:rsidR="00FB688C" w:rsidRPr="00FB688C" w:rsidRDefault="00FB688C" w:rsidP="008D3F18">
      <w:pPr>
        <w:shd w:val="clear" w:color="auto" w:fill="FFFFFF"/>
        <w:spacing w:after="150" w:line="360" w:lineRule="auto"/>
        <w:outlineLvl w:val="1"/>
        <w:rPr>
          <w:rFonts w:eastAsia="Times New Roman" w:cs="Calibri"/>
          <w:color w:val="00A1E5"/>
        </w:rPr>
      </w:pPr>
    </w:p>
    <w:p w14:paraId="18EB0742" w14:textId="77777777" w:rsidR="007603AC" w:rsidRPr="00FB688C" w:rsidRDefault="00071CBF" w:rsidP="00FB688C">
      <w:pPr>
        <w:pStyle w:val="Heading1"/>
      </w:pPr>
      <w:r w:rsidRPr="00FB688C">
        <w:rPr>
          <w:noProof/>
        </w:rPr>
        <w:drawing>
          <wp:anchor distT="0" distB="0" distL="114300" distR="114300" simplePos="0" relativeHeight="251658240" behindDoc="0" locked="0" layoutInCell="1" allowOverlap="1" wp14:anchorId="57548B46" wp14:editId="616FDA63">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FB688C" w:rsidRPr="00FB688C">
        <w:t>Salary Policy</w:t>
      </w:r>
      <w:r w:rsidR="007603AC" w:rsidRPr="00FB688C">
        <w:t xml:space="preserve">  </w:t>
      </w:r>
    </w:p>
    <w:p w14:paraId="0B822F0B" w14:textId="77777777" w:rsidR="002C19FF" w:rsidRPr="00FB688C" w:rsidRDefault="002C19FF" w:rsidP="00FB688C">
      <w:pPr>
        <w:pStyle w:val="Heading2"/>
        <w:rPr>
          <w:rFonts w:ascii="Calibri" w:hAnsi="Calibri" w:cs="Calibri"/>
        </w:rPr>
      </w:pPr>
    </w:p>
    <w:p w14:paraId="1C537817" w14:textId="77777777" w:rsidR="00FB688C" w:rsidRPr="00FB688C" w:rsidRDefault="00FB688C" w:rsidP="00FB688C">
      <w:pPr>
        <w:pStyle w:val="Heading2"/>
      </w:pPr>
      <w:r>
        <w:t>S</w:t>
      </w:r>
      <w:r w:rsidRPr="00FB688C">
        <w:t>tatement of intent</w:t>
      </w:r>
    </w:p>
    <w:p w14:paraId="4932BB95" w14:textId="77777777" w:rsidR="00FB688C" w:rsidRDefault="00FB688C" w:rsidP="00FB688C">
      <w:pPr>
        <w:rPr>
          <w:rFonts w:cs="Calibri"/>
        </w:rPr>
      </w:pPr>
      <w:r>
        <w:rPr>
          <w:rFonts w:cs="Calibri"/>
        </w:rPr>
        <w:t>The purpose of this policy is to provide guidance on setting and reviewing salaries for the Culture, Health &amp; Wellbeing Alliance</w:t>
      </w:r>
      <w:r w:rsidR="00A033D7">
        <w:rPr>
          <w:rFonts w:cs="Calibri"/>
        </w:rPr>
        <w:t xml:space="preserve"> (CHWA)</w:t>
      </w:r>
      <w:r>
        <w:rPr>
          <w:rFonts w:cs="Calibri"/>
        </w:rPr>
        <w:t xml:space="preserve">. We are committed to an open and fair pay system. </w:t>
      </w:r>
    </w:p>
    <w:p w14:paraId="3A5329EE" w14:textId="77777777" w:rsidR="00FB688C" w:rsidRDefault="00FB688C" w:rsidP="00FB688C">
      <w:pPr>
        <w:rPr>
          <w:rFonts w:cs="Calibri"/>
        </w:rPr>
      </w:pPr>
    </w:p>
    <w:p w14:paraId="237C7165" w14:textId="77777777" w:rsidR="00FB688C" w:rsidRPr="00FB688C" w:rsidRDefault="00FB688C" w:rsidP="00FB688C">
      <w:pPr>
        <w:rPr>
          <w:rFonts w:cs="Calibri"/>
        </w:rPr>
      </w:pPr>
      <w:r>
        <w:rPr>
          <w:rFonts w:cs="Calibri"/>
        </w:rPr>
        <w:t xml:space="preserve">We commit to using the Voluntary Living Wage or Real Living Wage above and beyond government guidance for the national living wage. More information on the Voluntary/Real Living Wage can be found here: </w:t>
      </w:r>
      <w:hyperlink r:id="rId9" w:history="1">
        <w:r w:rsidRPr="00182C60">
          <w:rPr>
            <w:rStyle w:val="Hyperlink"/>
            <w:rFonts w:cs="Calibri"/>
          </w:rPr>
          <w:t>https://www.livingwage.org.uk/what-real-living-wage</w:t>
        </w:r>
      </w:hyperlink>
      <w:r>
        <w:rPr>
          <w:rFonts w:cs="Calibri"/>
        </w:rPr>
        <w:t xml:space="preserve"> </w:t>
      </w:r>
    </w:p>
    <w:p w14:paraId="7816F2AD" w14:textId="77777777" w:rsidR="00FB688C" w:rsidRPr="00FB688C" w:rsidRDefault="00FB688C" w:rsidP="00FB688C">
      <w:pPr>
        <w:pStyle w:val="Heading2"/>
        <w:rPr>
          <w:rFonts w:ascii="Calibri" w:hAnsi="Calibri" w:cs="Calibri"/>
        </w:rPr>
      </w:pPr>
    </w:p>
    <w:p w14:paraId="2368BF86" w14:textId="77777777" w:rsidR="00FB688C" w:rsidRPr="00FB688C" w:rsidRDefault="008312F1" w:rsidP="008312F1">
      <w:pPr>
        <w:pStyle w:val="Heading2"/>
      </w:pPr>
      <w:r>
        <w:t xml:space="preserve">Pay </w:t>
      </w:r>
      <w:r w:rsidR="00FB688C" w:rsidRPr="00FB688C">
        <w:t>review date</w:t>
      </w:r>
    </w:p>
    <w:p w14:paraId="04884815" w14:textId="467688D7" w:rsidR="009A1C86" w:rsidRDefault="008312F1" w:rsidP="008312F1">
      <w:r>
        <w:t xml:space="preserve">Pay for all employed staff will be reviewed by the Board of Directors annually at the Board meeting in November or December of each year to allow for changes to be implemented </w:t>
      </w:r>
      <w:r w:rsidR="009A1C86">
        <w:t xml:space="preserve">from </w:t>
      </w:r>
      <w:r>
        <w:t>the start of the following financial year</w:t>
      </w:r>
      <w:r w:rsidR="00954E0C">
        <w:t xml:space="preserve"> (1 April)</w:t>
      </w:r>
      <w:r w:rsidR="009A1C86">
        <w:t xml:space="preserve">. Changing salaries at the start of the financial year should be considered the default timing for ease of accounting, however at the discretion of the Board changes </w:t>
      </w:r>
      <w:r w:rsidR="009A1C86" w:rsidRPr="009A1C86">
        <w:rPr>
          <w:i/>
          <w:iCs/>
        </w:rPr>
        <w:t>can</w:t>
      </w:r>
      <w:r w:rsidR="009A1C86">
        <w:t xml:space="preserve"> be made at other times of year</w:t>
      </w:r>
      <w:r>
        <w:t>.</w:t>
      </w:r>
      <w:r w:rsidR="00BF38D1">
        <w:t xml:space="preserve"> </w:t>
      </w:r>
    </w:p>
    <w:p w14:paraId="7B41FD48" w14:textId="77777777" w:rsidR="009A1C86" w:rsidRDefault="009A1C86" w:rsidP="008312F1"/>
    <w:p w14:paraId="2D9EA114" w14:textId="584CE89B" w:rsidR="00BF38D1" w:rsidRDefault="00BF38D1" w:rsidP="008312F1">
      <w:r>
        <w:t>The Board commits to using this policy during its review process.</w:t>
      </w:r>
      <w:r w:rsidR="008312F1">
        <w:t xml:space="preserve"> </w:t>
      </w:r>
      <w:r>
        <w:t>There is no obligation on the Board to increase pay rates annually</w:t>
      </w:r>
      <w:r w:rsidR="00DE2FB6">
        <w:t xml:space="preserve"> – however the ACE business plan currently anticipates a 2% rise p/a till 2022</w:t>
      </w:r>
      <w:r>
        <w:t xml:space="preserve">. </w:t>
      </w:r>
    </w:p>
    <w:p w14:paraId="399641BA" w14:textId="77777777" w:rsidR="008B2EFD" w:rsidRDefault="008B2EFD" w:rsidP="00FB688C">
      <w:pPr>
        <w:pStyle w:val="Heading2"/>
        <w:rPr>
          <w:rFonts w:ascii="Calibri" w:hAnsi="Calibri" w:cs="Calibri"/>
        </w:rPr>
      </w:pPr>
    </w:p>
    <w:p w14:paraId="54643EA8" w14:textId="77777777" w:rsidR="00FB688C" w:rsidRPr="00FB688C" w:rsidRDefault="008B2EFD" w:rsidP="00FB688C">
      <w:pPr>
        <w:pStyle w:val="Heading2"/>
        <w:rPr>
          <w:rFonts w:ascii="Calibri" w:hAnsi="Calibri" w:cs="Calibri"/>
        </w:rPr>
      </w:pPr>
      <w:r>
        <w:rPr>
          <w:rFonts w:ascii="Calibri" w:hAnsi="Calibri" w:cs="Calibri"/>
        </w:rPr>
        <w:t>Salary progression</w:t>
      </w:r>
    </w:p>
    <w:p w14:paraId="24C494D1" w14:textId="77777777" w:rsidR="008C69EF" w:rsidRDefault="008B2EFD" w:rsidP="008B2EFD">
      <w:r>
        <w:t>CHWA does not have formal salary progression</w:t>
      </w:r>
      <w:r w:rsidR="00B10FF2">
        <w:t xml:space="preserve"> for posts</w:t>
      </w:r>
      <w:r>
        <w:t>. Salaries are subject to annual review according to the criteria below.</w:t>
      </w:r>
    </w:p>
    <w:p w14:paraId="248DCAFA" w14:textId="77777777" w:rsidR="008B2EFD" w:rsidRDefault="008B2EFD" w:rsidP="008B2EFD"/>
    <w:p w14:paraId="6EB0A35F" w14:textId="77777777" w:rsidR="00FB688C" w:rsidRPr="00FB688C" w:rsidRDefault="008C69EF" w:rsidP="00FB688C">
      <w:pPr>
        <w:pStyle w:val="Heading2"/>
        <w:rPr>
          <w:rFonts w:ascii="Calibri" w:hAnsi="Calibri" w:cs="Calibri"/>
        </w:rPr>
      </w:pPr>
      <w:r>
        <w:rPr>
          <w:rFonts w:ascii="Calibri" w:hAnsi="Calibri" w:cs="Calibri"/>
        </w:rPr>
        <w:t>C</w:t>
      </w:r>
      <w:r w:rsidR="00FB688C" w:rsidRPr="00FB688C">
        <w:rPr>
          <w:rFonts w:ascii="Calibri" w:hAnsi="Calibri" w:cs="Calibri"/>
        </w:rPr>
        <w:t>riteria for pay increases</w:t>
      </w:r>
    </w:p>
    <w:p w14:paraId="09786974" w14:textId="77777777" w:rsidR="00BF38D1" w:rsidRDefault="00BF38D1" w:rsidP="00BF38D1">
      <w:r>
        <w:t>Pay increases should be governed by the following considerations</w:t>
      </w:r>
      <w:r w:rsidR="006340E5">
        <w:t>,</w:t>
      </w:r>
      <w:r w:rsidR="00A033D7">
        <w:t xml:space="preserve"> preferably in this order:</w:t>
      </w:r>
    </w:p>
    <w:p w14:paraId="6B723704" w14:textId="77777777" w:rsidR="00BF38D1" w:rsidRDefault="00BF38D1" w:rsidP="00A033D7">
      <w:pPr>
        <w:pStyle w:val="ListParagraph"/>
        <w:numPr>
          <w:ilvl w:val="0"/>
          <w:numId w:val="34"/>
        </w:numPr>
      </w:pPr>
      <w:r>
        <w:t>Inflation rates</w:t>
      </w:r>
    </w:p>
    <w:p w14:paraId="17B59748" w14:textId="77777777" w:rsidR="00A033D7" w:rsidRPr="00A033D7" w:rsidRDefault="00A033D7" w:rsidP="00A033D7">
      <w:pPr>
        <w:pStyle w:val="ListParagraph"/>
        <w:numPr>
          <w:ilvl w:val="0"/>
          <w:numId w:val="34"/>
        </w:numPr>
      </w:pPr>
      <w:r w:rsidRPr="00A033D7">
        <w:t>Internal fairness, where more responsible jobs are paid at a higher level</w:t>
      </w:r>
    </w:p>
    <w:p w14:paraId="2C795E54" w14:textId="77777777" w:rsidR="00A033D7" w:rsidRPr="00A033D7" w:rsidRDefault="00A033D7" w:rsidP="00A033D7">
      <w:pPr>
        <w:pStyle w:val="ListParagraph"/>
        <w:numPr>
          <w:ilvl w:val="0"/>
          <w:numId w:val="34"/>
        </w:numPr>
      </w:pPr>
      <w:r w:rsidRPr="00A033D7">
        <w:t>Affordability</w:t>
      </w:r>
    </w:p>
    <w:p w14:paraId="472486B2" w14:textId="77777777" w:rsidR="00A033D7" w:rsidRPr="00A033D7" w:rsidRDefault="00A033D7" w:rsidP="00A033D7">
      <w:pPr>
        <w:pStyle w:val="ListParagraph"/>
        <w:numPr>
          <w:ilvl w:val="0"/>
          <w:numId w:val="34"/>
        </w:numPr>
      </w:pPr>
      <w:r w:rsidRPr="00A033D7">
        <w:t xml:space="preserve">External competitiveness, </w:t>
      </w:r>
      <w:r>
        <w:t xml:space="preserve">to allow CHWA </w:t>
      </w:r>
      <w:r w:rsidRPr="00A033D7">
        <w:t>that you can recruit and retain</w:t>
      </w:r>
    </w:p>
    <w:p w14:paraId="5F502DC2" w14:textId="77777777" w:rsidR="00B10FF2" w:rsidRDefault="00B10FF2" w:rsidP="00BF38D1"/>
    <w:p w14:paraId="21F8562D" w14:textId="3D0FD470" w:rsidR="00A033D7" w:rsidRDefault="00A033D7" w:rsidP="00BF38D1">
      <w:r>
        <w:t>Where a possible</w:t>
      </w:r>
      <w:r w:rsidR="00B10FF2">
        <w:t>,</w:t>
      </w:r>
      <w:r>
        <w:t xml:space="preserve"> the Board should consider how it might be possible to either a) raise funds to support increases</w:t>
      </w:r>
      <w:r w:rsidR="00EA600F">
        <w:t>,</w:t>
      </w:r>
      <w:r>
        <w:t xml:space="preserve"> b) reallocate existing budgets, </w:t>
      </w:r>
      <w:r w:rsidR="00EA600F">
        <w:t xml:space="preserve">or c) setting roles at the correct levels but reducing hours, </w:t>
      </w:r>
      <w:r>
        <w:t>rather than deferring increases indefinitely because of budgetary restraints.</w:t>
      </w:r>
      <w:r w:rsidR="00DE2FB6">
        <w:t xml:space="preserve"> </w:t>
      </w:r>
    </w:p>
    <w:p w14:paraId="4F0EC900" w14:textId="77777777" w:rsidR="00BF38D1" w:rsidRDefault="00BF38D1" w:rsidP="00BF38D1"/>
    <w:p w14:paraId="0541D7E0" w14:textId="77777777" w:rsidR="00BF38D1" w:rsidRDefault="00BF38D1" w:rsidP="00BF38D1">
      <w:r>
        <w:lastRenderedPageBreak/>
        <w:t xml:space="preserve">Further guidance on pay reviews is available from the NCVO at </w:t>
      </w:r>
    </w:p>
    <w:p w14:paraId="4A035BCE" w14:textId="77777777" w:rsidR="00BF38D1" w:rsidRDefault="00BF50E7" w:rsidP="00BF38D1">
      <w:hyperlink r:id="rId10" w:history="1">
        <w:r w:rsidR="00BF38D1" w:rsidRPr="00182C60">
          <w:rPr>
            <w:rStyle w:val="Hyperlink"/>
          </w:rPr>
          <w:t>https://knowhow.ncvo.org.uk/your-team/hr/salaries-and-benefits/salaries</w:t>
        </w:r>
      </w:hyperlink>
    </w:p>
    <w:p w14:paraId="7DE5C6D9" w14:textId="77777777" w:rsidR="00BF38D1" w:rsidRDefault="00BF38D1" w:rsidP="00BF38D1"/>
    <w:p w14:paraId="71B57FFB" w14:textId="77777777" w:rsidR="008C69EF" w:rsidRPr="00FB688C" w:rsidRDefault="006340E5" w:rsidP="008C69EF">
      <w:pPr>
        <w:pStyle w:val="Heading2"/>
        <w:rPr>
          <w:rFonts w:ascii="Calibri" w:hAnsi="Calibri" w:cs="Calibri"/>
        </w:rPr>
      </w:pPr>
      <w:r>
        <w:rPr>
          <w:rFonts w:ascii="Calibri" w:hAnsi="Calibri" w:cs="Calibri"/>
        </w:rPr>
        <w:t>H</w:t>
      </w:r>
      <w:r w:rsidR="008C69EF" w:rsidRPr="00FB688C">
        <w:rPr>
          <w:rFonts w:ascii="Calibri" w:hAnsi="Calibri" w:cs="Calibri"/>
        </w:rPr>
        <w:t>ow jobs are evaluated</w:t>
      </w:r>
    </w:p>
    <w:p w14:paraId="5AFBB7B1" w14:textId="77777777" w:rsidR="00C1294E" w:rsidRDefault="00C1294E" w:rsidP="00C1294E">
      <w:r>
        <w:t>The Board of Directors and Executive Director will read all existing job descriptions</w:t>
      </w:r>
      <w:r w:rsidR="00B21E5C">
        <w:t xml:space="preserve"> and consider the member of staff’s most recent appraisal. If </w:t>
      </w:r>
      <w:r w:rsidR="00B10FF2">
        <w:t>the appraisal was conducted more than 3 months prior to the annual pay review, a</w:t>
      </w:r>
      <w:r w:rsidR="009A1C86">
        <w:t>n additional</w:t>
      </w:r>
      <w:r w:rsidR="00B10FF2">
        <w:t xml:space="preserve"> interview will be conducted between the line manager and member of staff. </w:t>
      </w:r>
    </w:p>
    <w:p w14:paraId="05C2F6B8" w14:textId="77777777" w:rsidR="00B10FF2" w:rsidRDefault="00B10FF2" w:rsidP="00C1294E"/>
    <w:p w14:paraId="237F9629" w14:textId="77777777" w:rsidR="00C1294E" w:rsidRDefault="00C1294E" w:rsidP="00C1294E">
      <w:pPr>
        <w:pStyle w:val="Heading3"/>
      </w:pPr>
      <w:r>
        <w:t xml:space="preserve">Review interview </w:t>
      </w:r>
    </w:p>
    <w:p w14:paraId="70B067E7" w14:textId="77777777" w:rsidR="009A1C86" w:rsidRDefault="009A1C86" w:rsidP="00C1294E">
      <w:r>
        <w:t xml:space="preserve">The </w:t>
      </w:r>
      <w:r w:rsidR="00C1294E">
        <w:t xml:space="preserve">member of staff and their line manager will discuss workload, as well as skill and experience, noting particularly a) what an average week’s work consists of and b) any changes the member of staff perceives in the type of work they are undertaking, compared to their previous review. It is vital notes are taken that can be shared with the Board of Directors. </w:t>
      </w:r>
    </w:p>
    <w:p w14:paraId="3A8EEDEC" w14:textId="77777777" w:rsidR="009A1C86" w:rsidRDefault="009A1C86" w:rsidP="00C1294E"/>
    <w:p w14:paraId="184A4AE2" w14:textId="6DE7ABA0" w:rsidR="008C69EF" w:rsidRDefault="009A1C86" w:rsidP="00C1294E">
      <w:r w:rsidRPr="008B4DB4">
        <w:t>This ground will also be covered in all annual a</w:t>
      </w:r>
      <w:r w:rsidR="00C1294E" w:rsidRPr="008B4DB4">
        <w:t>ppraisal</w:t>
      </w:r>
      <w:r w:rsidRPr="008B4DB4">
        <w:t>s (</w:t>
      </w:r>
      <w:r w:rsidR="00083F7F">
        <w:t xml:space="preserve">the </w:t>
      </w:r>
      <w:r w:rsidRPr="008B4DB4">
        <w:t xml:space="preserve">appraisal </w:t>
      </w:r>
      <w:r w:rsidR="00083F7F">
        <w:t>template</w:t>
      </w:r>
      <w:r w:rsidR="00C1294E" w:rsidRPr="008B4DB4">
        <w:t xml:space="preserve"> is available </w:t>
      </w:r>
      <w:hyperlink r:id="rId11" w:history="1">
        <w:r w:rsidR="00B21E5C" w:rsidRPr="008B4DB4">
          <w:rPr>
            <w:rStyle w:val="Hyperlink"/>
          </w:rPr>
          <w:t>here</w:t>
        </w:r>
      </w:hyperlink>
      <w:r w:rsidRPr="008B4DB4">
        <w:t>)</w:t>
      </w:r>
      <w:r w:rsidR="00C1294E" w:rsidRPr="008B4DB4">
        <w:t>.</w:t>
      </w:r>
      <w:r w:rsidR="00C1294E">
        <w:t xml:space="preserve">   </w:t>
      </w:r>
    </w:p>
    <w:p w14:paraId="752772E6" w14:textId="77777777" w:rsidR="00C1294E" w:rsidRPr="00C1294E" w:rsidRDefault="00C1294E" w:rsidP="00C1294E"/>
    <w:p w14:paraId="056FE79B" w14:textId="77777777" w:rsidR="00FB688C" w:rsidRDefault="008C69EF" w:rsidP="00FB688C">
      <w:pPr>
        <w:pStyle w:val="Heading2"/>
        <w:rPr>
          <w:rFonts w:ascii="Calibri" w:hAnsi="Calibri" w:cs="Calibri"/>
        </w:rPr>
      </w:pPr>
      <w:r>
        <w:rPr>
          <w:rFonts w:ascii="Calibri" w:hAnsi="Calibri" w:cs="Calibri"/>
        </w:rPr>
        <w:t xml:space="preserve">Process for </w:t>
      </w:r>
      <w:r w:rsidR="00FB688C" w:rsidRPr="00FB688C">
        <w:rPr>
          <w:rFonts w:ascii="Calibri" w:hAnsi="Calibri" w:cs="Calibri"/>
        </w:rPr>
        <w:t xml:space="preserve">staff </w:t>
      </w:r>
      <w:r>
        <w:rPr>
          <w:rFonts w:ascii="Calibri" w:hAnsi="Calibri" w:cs="Calibri"/>
        </w:rPr>
        <w:t xml:space="preserve">to </w:t>
      </w:r>
      <w:r w:rsidR="00FB688C" w:rsidRPr="00FB688C">
        <w:rPr>
          <w:rFonts w:ascii="Calibri" w:hAnsi="Calibri" w:cs="Calibri"/>
        </w:rPr>
        <w:t>follow if they feel pay is unfair</w:t>
      </w:r>
    </w:p>
    <w:p w14:paraId="3114D723" w14:textId="77777777" w:rsidR="008C69EF" w:rsidRPr="008C69EF" w:rsidRDefault="008C69EF" w:rsidP="008C69EF">
      <w:r>
        <w:t xml:space="preserve">Staff should in the first instance discuss this with their line manager during regular meetings. If for any reason this does not lead to a satisfactory result please follow procedures outlined in the Disciplinary and </w:t>
      </w:r>
      <w:hyperlink r:id="rId12" w:history="1">
        <w:r w:rsidRPr="00E731B5">
          <w:rPr>
            <w:rStyle w:val="Hyperlink"/>
          </w:rPr>
          <w:t>Grievance</w:t>
        </w:r>
        <w:r w:rsidR="00E731B5" w:rsidRPr="00E731B5">
          <w:rPr>
            <w:rStyle w:val="Hyperlink"/>
          </w:rPr>
          <w:t>, Whistleblowing &amp; Disciplinary</w:t>
        </w:r>
        <w:r w:rsidRPr="00E731B5">
          <w:rPr>
            <w:rStyle w:val="Hyperlink"/>
          </w:rPr>
          <w:t xml:space="preserve"> Policy</w:t>
        </w:r>
      </w:hyperlink>
      <w:r>
        <w:t xml:space="preserve">. </w:t>
      </w:r>
    </w:p>
    <w:p w14:paraId="25E70CBA" w14:textId="77777777" w:rsidR="00FD3096" w:rsidRPr="00AE0644" w:rsidRDefault="00FD3096" w:rsidP="00FD3096">
      <w:pPr>
        <w:widowControl w:val="0"/>
        <w:autoSpaceDE w:val="0"/>
        <w:autoSpaceDN w:val="0"/>
        <w:adjustRightInd w:val="0"/>
        <w:ind w:right="-2"/>
        <w:rPr>
          <w:rFonts w:eastAsia="Times New Roman"/>
        </w:rPr>
      </w:pPr>
    </w:p>
    <w:p w14:paraId="21AB7A54" w14:textId="77777777" w:rsidR="00FD3096" w:rsidRDefault="00FD3096" w:rsidP="00FD3096">
      <w:pPr>
        <w:pStyle w:val="Heading2"/>
        <w:rPr>
          <w:rFonts w:eastAsia="Times New Roman"/>
        </w:rPr>
      </w:pPr>
      <w:r>
        <w:rPr>
          <w:rFonts w:eastAsia="Times New Roman"/>
        </w:rPr>
        <w:t>Approval</w:t>
      </w:r>
    </w:p>
    <w:p w14:paraId="2BDFFD95" w14:textId="1D4CAD92"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 xml:space="preserve">This policy was approved and agreed by the Board </w:t>
      </w:r>
      <w:r>
        <w:rPr>
          <w:rFonts w:eastAsia="Times New Roman"/>
        </w:rPr>
        <w:t xml:space="preserve">of Directors </w:t>
      </w:r>
      <w:r w:rsidRPr="00AE0644">
        <w:rPr>
          <w:rFonts w:eastAsia="Times New Roman"/>
        </w:rPr>
        <w:t xml:space="preserve">on the date shown below. </w:t>
      </w:r>
    </w:p>
    <w:p w14:paraId="4B1017F1" w14:textId="77777777" w:rsidR="00FD3096" w:rsidRPr="00AE0644" w:rsidRDefault="00FD3096" w:rsidP="00FD3096">
      <w:pPr>
        <w:widowControl w:val="0"/>
        <w:autoSpaceDE w:val="0"/>
        <w:autoSpaceDN w:val="0"/>
        <w:adjustRightInd w:val="0"/>
        <w:ind w:right="-2"/>
        <w:rPr>
          <w:rFonts w:eastAsia="Times New Roman"/>
        </w:rPr>
      </w:pPr>
    </w:p>
    <w:p w14:paraId="43735816" w14:textId="325054BB"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 xml:space="preserve">Signed: </w:t>
      </w:r>
      <w:r w:rsidRPr="00AE0644">
        <w:rPr>
          <w:rFonts w:eastAsia="Times New Roman"/>
        </w:rPr>
        <w:tab/>
      </w:r>
      <w:r>
        <w:rPr>
          <w:rFonts w:eastAsia="Times New Roman"/>
        </w:rPr>
        <w:tab/>
        <w:t>_________________</w:t>
      </w:r>
    </w:p>
    <w:p w14:paraId="3B070E2C" w14:textId="77777777" w:rsidR="00FD3096" w:rsidRPr="00AE0644" w:rsidRDefault="00FD3096" w:rsidP="00FD3096">
      <w:pPr>
        <w:widowControl w:val="0"/>
        <w:autoSpaceDE w:val="0"/>
        <w:autoSpaceDN w:val="0"/>
        <w:adjustRightInd w:val="0"/>
        <w:ind w:right="-2"/>
        <w:rPr>
          <w:rFonts w:eastAsia="Times New Roman"/>
        </w:rPr>
      </w:pPr>
    </w:p>
    <w:p w14:paraId="18B78115" w14:textId="77777777"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Name (please print):</w:t>
      </w:r>
      <w:r w:rsidRPr="00AE0644">
        <w:rPr>
          <w:rFonts w:eastAsia="Times New Roman"/>
        </w:rPr>
        <w:tab/>
      </w:r>
      <w:r>
        <w:rPr>
          <w:rFonts w:eastAsia="Times New Roman"/>
        </w:rPr>
        <w:t>Esme Ward</w:t>
      </w:r>
    </w:p>
    <w:p w14:paraId="52DFC6F6" w14:textId="77777777" w:rsidR="00FD3096" w:rsidRPr="00AE0644" w:rsidRDefault="00FD3096" w:rsidP="00FD3096">
      <w:pPr>
        <w:widowControl w:val="0"/>
        <w:autoSpaceDE w:val="0"/>
        <w:autoSpaceDN w:val="0"/>
        <w:adjustRightInd w:val="0"/>
        <w:ind w:right="-2"/>
        <w:rPr>
          <w:rFonts w:eastAsia="Times New Roman"/>
        </w:rPr>
      </w:pPr>
    </w:p>
    <w:p w14:paraId="6DE0BE61" w14:textId="77777777"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Position:</w:t>
      </w:r>
      <w:r>
        <w:rPr>
          <w:rFonts w:eastAsia="Times New Roman"/>
        </w:rPr>
        <w:t xml:space="preserve"> </w:t>
      </w:r>
      <w:r>
        <w:rPr>
          <w:rFonts w:eastAsia="Times New Roman"/>
        </w:rPr>
        <w:tab/>
      </w:r>
      <w:r>
        <w:rPr>
          <w:rFonts w:eastAsia="Times New Roman"/>
        </w:rPr>
        <w:tab/>
        <w:t>Chair of Board of Directors</w:t>
      </w:r>
      <w:r w:rsidRPr="00AE0644">
        <w:rPr>
          <w:rFonts w:eastAsia="Times New Roman"/>
        </w:rPr>
        <w:t xml:space="preserve"> </w:t>
      </w:r>
      <w:r w:rsidRPr="00AE0644">
        <w:rPr>
          <w:rFonts w:eastAsia="Times New Roman"/>
        </w:rPr>
        <w:tab/>
      </w:r>
    </w:p>
    <w:p w14:paraId="61F48878" w14:textId="77777777" w:rsidR="00FD3096" w:rsidRPr="00AE0644" w:rsidRDefault="00FD3096" w:rsidP="00FD3096">
      <w:pPr>
        <w:widowControl w:val="0"/>
        <w:autoSpaceDE w:val="0"/>
        <w:autoSpaceDN w:val="0"/>
        <w:adjustRightInd w:val="0"/>
        <w:ind w:right="-2"/>
        <w:rPr>
          <w:rFonts w:eastAsia="Times New Roman"/>
        </w:rPr>
      </w:pPr>
    </w:p>
    <w:p w14:paraId="7D245FE5" w14:textId="353AF832"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 xml:space="preserve">Date: </w:t>
      </w:r>
      <w:r w:rsidRPr="00AE0644">
        <w:rPr>
          <w:rFonts w:eastAsia="Times New Roman"/>
        </w:rPr>
        <w:tab/>
      </w:r>
      <w:r>
        <w:rPr>
          <w:rFonts w:eastAsia="Times New Roman"/>
        </w:rPr>
        <w:tab/>
      </w:r>
      <w:r>
        <w:rPr>
          <w:rFonts w:eastAsia="Times New Roman"/>
        </w:rPr>
        <w:tab/>
      </w:r>
    </w:p>
    <w:p w14:paraId="777FE181" w14:textId="77777777" w:rsidR="00FD3096" w:rsidRPr="00AE0644" w:rsidRDefault="00FD3096" w:rsidP="00FD3096">
      <w:pPr>
        <w:widowControl w:val="0"/>
        <w:autoSpaceDE w:val="0"/>
        <w:autoSpaceDN w:val="0"/>
        <w:adjustRightInd w:val="0"/>
        <w:ind w:right="-2"/>
        <w:rPr>
          <w:rFonts w:eastAsia="Times New Roman"/>
        </w:rPr>
      </w:pPr>
    </w:p>
    <w:p w14:paraId="7FFB01E1" w14:textId="77777777" w:rsidR="00FD3096" w:rsidRPr="00AE0644" w:rsidRDefault="00FD3096" w:rsidP="00FD3096">
      <w:pPr>
        <w:widowControl w:val="0"/>
        <w:autoSpaceDE w:val="0"/>
        <w:autoSpaceDN w:val="0"/>
        <w:adjustRightInd w:val="0"/>
        <w:ind w:right="-2"/>
        <w:rPr>
          <w:rFonts w:eastAsia="Times New Roman"/>
        </w:rPr>
      </w:pPr>
    </w:p>
    <w:p w14:paraId="5B8403DB" w14:textId="77777777"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 xml:space="preserve">Review dates: </w:t>
      </w:r>
      <w:r w:rsidRPr="00AE0644">
        <w:rPr>
          <w:rFonts w:eastAsia="Times New Roman"/>
        </w:rPr>
        <w:tab/>
      </w:r>
      <w:r>
        <w:rPr>
          <w:rFonts w:eastAsia="Times New Roman"/>
        </w:rPr>
        <w:tab/>
        <w:t xml:space="preserve">August 2021 | August 2022 | annually thereafter </w:t>
      </w:r>
    </w:p>
    <w:p w14:paraId="7294D0C8" w14:textId="77777777" w:rsidR="00FD3096" w:rsidRPr="00AE0644" w:rsidRDefault="00FD3096" w:rsidP="00FD3096">
      <w:pPr>
        <w:widowControl w:val="0"/>
        <w:autoSpaceDE w:val="0"/>
        <w:autoSpaceDN w:val="0"/>
        <w:adjustRightInd w:val="0"/>
        <w:ind w:right="-2"/>
        <w:rPr>
          <w:rFonts w:eastAsia="Times New Roman"/>
        </w:rPr>
      </w:pPr>
    </w:p>
    <w:p w14:paraId="521A7BE5" w14:textId="77777777" w:rsidR="00FD3096" w:rsidRPr="00AE0644" w:rsidRDefault="00FD3096" w:rsidP="00FD3096">
      <w:pPr>
        <w:widowControl w:val="0"/>
        <w:autoSpaceDE w:val="0"/>
        <w:autoSpaceDN w:val="0"/>
        <w:adjustRightInd w:val="0"/>
        <w:ind w:right="-2"/>
        <w:rPr>
          <w:rFonts w:eastAsia="Times New Roman"/>
        </w:rPr>
      </w:pPr>
      <w:r>
        <w:rPr>
          <w:rFonts w:eastAsia="Times New Roman"/>
        </w:rPr>
        <w:t>O</w:t>
      </w:r>
      <w:r w:rsidRPr="00AE0644">
        <w:rPr>
          <w:rFonts w:eastAsia="Times New Roman"/>
        </w:rPr>
        <w:t>rganisation</w:t>
      </w:r>
      <w:r>
        <w:rPr>
          <w:rFonts w:eastAsia="Times New Roman"/>
        </w:rPr>
        <w:t xml:space="preserve"> name: </w:t>
      </w:r>
      <w:r>
        <w:rPr>
          <w:rFonts w:eastAsia="Times New Roman"/>
        </w:rPr>
        <w:tab/>
        <w:t>Culture, Health &amp; Wellbeing Alliance CIC</w:t>
      </w:r>
      <w:r w:rsidRPr="00AE0644">
        <w:rPr>
          <w:rFonts w:eastAsia="Times New Roman"/>
        </w:rPr>
        <w:t xml:space="preserve"> </w:t>
      </w:r>
      <w:r w:rsidRPr="00AE0644">
        <w:rPr>
          <w:rFonts w:eastAsia="Times New Roman"/>
        </w:rPr>
        <w:tab/>
      </w:r>
    </w:p>
    <w:p w14:paraId="5D0FE81E" w14:textId="77777777" w:rsidR="00FD3096" w:rsidRPr="00AE0644" w:rsidRDefault="00FD3096" w:rsidP="00FD3096">
      <w:pPr>
        <w:widowControl w:val="0"/>
        <w:autoSpaceDE w:val="0"/>
        <w:autoSpaceDN w:val="0"/>
        <w:adjustRightInd w:val="0"/>
        <w:ind w:right="-2"/>
        <w:rPr>
          <w:rFonts w:eastAsia="Times New Roman"/>
        </w:rPr>
      </w:pPr>
    </w:p>
    <w:p w14:paraId="46489E44" w14:textId="77777777" w:rsidR="00FD3096" w:rsidRPr="00AE0644" w:rsidRDefault="00FD3096" w:rsidP="00FD3096">
      <w:pPr>
        <w:widowControl w:val="0"/>
        <w:autoSpaceDE w:val="0"/>
        <w:autoSpaceDN w:val="0"/>
        <w:adjustRightInd w:val="0"/>
        <w:ind w:right="-2"/>
        <w:rPr>
          <w:rFonts w:eastAsia="Times New Roman"/>
        </w:rPr>
      </w:pPr>
      <w:r w:rsidRPr="00AE0644">
        <w:rPr>
          <w:rFonts w:eastAsia="Times New Roman"/>
        </w:rPr>
        <w:t xml:space="preserve">Company Number: </w:t>
      </w:r>
      <w:r w:rsidRPr="00AE0644">
        <w:rPr>
          <w:rFonts w:eastAsia="Times New Roman"/>
        </w:rPr>
        <w:tab/>
      </w:r>
      <w:r w:rsidRPr="00867A60">
        <w:rPr>
          <w:rFonts w:eastAsia="Times New Roman"/>
        </w:rPr>
        <w:t>12359172</w:t>
      </w:r>
    </w:p>
    <w:p w14:paraId="6AEC6899" w14:textId="77777777" w:rsidR="00FD3096" w:rsidRPr="00AE0644" w:rsidRDefault="00FD3096" w:rsidP="00FD3096">
      <w:pPr>
        <w:widowControl w:val="0"/>
        <w:autoSpaceDE w:val="0"/>
        <w:autoSpaceDN w:val="0"/>
        <w:adjustRightInd w:val="0"/>
        <w:ind w:right="-2"/>
        <w:rPr>
          <w:rFonts w:eastAsia="Times New Roman"/>
        </w:rPr>
      </w:pPr>
    </w:p>
    <w:p w14:paraId="0A75A3E1" w14:textId="77777777" w:rsidR="00FD3096" w:rsidRPr="00AE0644" w:rsidRDefault="00FD3096" w:rsidP="00FD3096">
      <w:pPr>
        <w:widowControl w:val="0"/>
        <w:autoSpaceDE w:val="0"/>
        <w:autoSpaceDN w:val="0"/>
        <w:adjustRightInd w:val="0"/>
        <w:ind w:right="-2"/>
        <w:rPr>
          <w:rFonts w:eastAsia="Times New Roman"/>
        </w:rPr>
      </w:pPr>
    </w:p>
    <w:p w14:paraId="74290E18" w14:textId="77777777" w:rsidR="002C19FF" w:rsidRPr="00FB688C" w:rsidRDefault="002C19FF" w:rsidP="00FD3096">
      <w:pPr>
        <w:pStyle w:val="Heading2"/>
        <w:rPr>
          <w:rFonts w:ascii="Calibri" w:hAnsi="Calibri" w:cs="Calibri"/>
        </w:rPr>
      </w:pPr>
    </w:p>
    <w:sectPr w:rsidR="002C19FF" w:rsidRPr="00FB688C" w:rsidSect="00BD06B3">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521B" w14:textId="77777777" w:rsidR="00BF50E7" w:rsidRDefault="00BF50E7" w:rsidP="005F3E94">
      <w:r>
        <w:separator/>
      </w:r>
    </w:p>
  </w:endnote>
  <w:endnote w:type="continuationSeparator" w:id="0">
    <w:p w14:paraId="5E33CEBF" w14:textId="77777777" w:rsidR="00BF50E7" w:rsidRDefault="00BF50E7"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EF3C" w14:textId="77777777" w:rsidR="00CF03A5" w:rsidRDefault="00CF0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37474"/>
      <w:docPartObj>
        <w:docPartGallery w:val="Page Numbers (Bottom of Page)"/>
        <w:docPartUnique/>
      </w:docPartObj>
    </w:sdtPr>
    <w:sdtEndPr>
      <w:rPr>
        <w:noProof/>
      </w:rPr>
    </w:sdtEndPr>
    <w:sdtContent>
      <w:p w14:paraId="28A68C8E" w14:textId="77777777" w:rsidR="00B406AD" w:rsidRDefault="00B40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ADCFC" w14:textId="77777777" w:rsidR="00B406AD" w:rsidRDefault="00B4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B740" w14:textId="77777777" w:rsidR="00CF03A5" w:rsidRDefault="00CF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0659" w14:textId="77777777" w:rsidR="00BF50E7" w:rsidRDefault="00BF50E7" w:rsidP="005F3E94">
      <w:r>
        <w:separator/>
      </w:r>
    </w:p>
  </w:footnote>
  <w:footnote w:type="continuationSeparator" w:id="0">
    <w:p w14:paraId="487EC74B" w14:textId="77777777" w:rsidR="00BF50E7" w:rsidRDefault="00BF50E7" w:rsidP="005F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FCB6" w14:textId="2800A8AF" w:rsidR="00CF03A5" w:rsidRDefault="00BF50E7">
    <w:pPr>
      <w:pStyle w:val="Header"/>
    </w:pPr>
    <w:r>
      <w:rPr>
        <w:noProof/>
      </w:rPr>
      <w:pict w14:anchorId="3C540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75899" o:spid="_x0000_s2051"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0927" w14:textId="185DEF7B" w:rsidR="00CF03A5" w:rsidRDefault="00BF50E7">
    <w:pPr>
      <w:pStyle w:val="Header"/>
    </w:pPr>
    <w:r>
      <w:rPr>
        <w:noProof/>
      </w:rPr>
      <w:pict w14:anchorId="66B8F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75900" o:spid="_x0000_s2050" type="#_x0000_t136" alt="" style="position:absolute;margin-left:0;margin-top:0;width:390.1pt;height:195.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C0D1" w14:textId="3A5C3633" w:rsidR="00CF03A5" w:rsidRDefault="00BF50E7">
    <w:pPr>
      <w:pStyle w:val="Header"/>
    </w:pPr>
    <w:r>
      <w:rPr>
        <w:noProof/>
      </w:rPr>
      <w:pict w14:anchorId="7E982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575898" o:spid="_x0000_s2049"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740D2"/>
    <w:multiLevelType w:val="hybridMultilevel"/>
    <w:tmpl w:val="E2D25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753B3"/>
    <w:multiLevelType w:val="multilevel"/>
    <w:tmpl w:val="969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7218E"/>
    <w:multiLevelType w:val="multilevel"/>
    <w:tmpl w:val="118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24"/>
  </w:num>
  <w:num w:numId="4">
    <w:abstractNumId w:val="7"/>
  </w:num>
  <w:num w:numId="5">
    <w:abstractNumId w:val="3"/>
  </w:num>
  <w:num w:numId="6">
    <w:abstractNumId w:val="10"/>
  </w:num>
  <w:num w:numId="7">
    <w:abstractNumId w:val="30"/>
  </w:num>
  <w:num w:numId="8">
    <w:abstractNumId w:val="9"/>
  </w:num>
  <w:num w:numId="9">
    <w:abstractNumId w:val="20"/>
  </w:num>
  <w:num w:numId="10">
    <w:abstractNumId w:val="25"/>
  </w:num>
  <w:num w:numId="11">
    <w:abstractNumId w:val="1"/>
  </w:num>
  <w:num w:numId="12">
    <w:abstractNumId w:val="4"/>
  </w:num>
  <w:num w:numId="13">
    <w:abstractNumId w:val="27"/>
  </w:num>
  <w:num w:numId="14">
    <w:abstractNumId w:val="29"/>
  </w:num>
  <w:num w:numId="15">
    <w:abstractNumId w:val="0"/>
  </w:num>
  <w:num w:numId="16">
    <w:abstractNumId w:val="6"/>
  </w:num>
  <w:num w:numId="17">
    <w:abstractNumId w:val="17"/>
  </w:num>
  <w:num w:numId="18">
    <w:abstractNumId w:val="28"/>
  </w:num>
  <w:num w:numId="19">
    <w:abstractNumId w:val="22"/>
  </w:num>
  <w:num w:numId="20">
    <w:abstractNumId w:val="31"/>
  </w:num>
  <w:num w:numId="21">
    <w:abstractNumId w:val="8"/>
  </w:num>
  <w:num w:numId="22">
    <w:abstractNumId w:val="23"/>
  </w:num>
  <w:num w:numId="23">
    <w:abstractNumId w:val="5"/>
  </w:num>
  <w:num w:numId="24">
    <w:abstractNumId w:val="13"/>
  </w:num>
  <w:num w:numId="25">
    <w:abstractNumId w:val="12"/>
  </w:num>
  <w:num w:numId="26">
    <w:abstractNumId w:val="32"/>
  </w:num>
  <w:num w:numId="27">
    <w:abstractNumId w:val="11"/>
  </w:num>
  <w:num w:numId="28">
    <w:abstractNumId w:val="26"/>
  </w:num>
  <w:num w:numId="29">
    <w:abstractNumId w:val="2"/>
  </w:num>
  <w:num w:numId="30">
    <w:abstractNumId w:val="19"/>
  </w:num>
  <w:num w:numId="31">
    <w:abstractNumId w:val="14"/>
  </w:num>
  <w:num w:numId="32">
    <w:abstractNumId w:val="33"/>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8C"/>
    <w:rsid w:val="0000243D"/>
    <w:rsid w:val="0001099C"/>
    <w:rsid w:val="00024A70"/>
    <w:rsid w:val="000253E4"/>
    <w:rsid w:val="0003108B"/>
    <w:rsid w:val="000327B1"/>
    <w:rsid w:val="000327DC"/>
    <w:rsid w:val="000410B4"/>
    <w:rsid w:val="000412CA"/>
    <w:rsid w:val="000558F8"/>
    <w:rsid w:val="00056FF2"/>
    <w:rsid w:val="000621A6"/>
    <w:rsid w:val="0007128E"/>
    <w:rsid w:val="00071CBF"/>
    <w:rsid w:val="00083F7F"/>
    <w:rsid w:val="00091108"/>
    <w:rsid w:val="000A0D72"/>
    <w:rsid w:val="000A5DE6"/>
    <w:rsid w:val="000B7060"/>
    <w:rsid w:val="000C3BD0"/>
    <w:rsid w:val="000D017A"/>
    <w:rsid w:val="000D0590"/>
    <w:rsid w:val="000D4A7C"/>
    <w:rsid w:val="000F0AB4"/>
    <w:rsid w:val="000F3223"/>
    <w:rsid w:val="000F6E99"/>
    <w:rsid w:val="00130C4B"/>
    <w:rsid w:val="001333FE"/>
    <w:rsid w:val="00134A49"/>
    <w:rsid w:val="001420BA"/>
    <w:rsid w:val="00144153"/>
    <w:rsid w:val="001474B0"/>
    <w:rsid w:val="00150C17"/>
    <w:rsid w:val="0015473C"/>
    <w:rsid w:val="00156ECD"/>
    <w:rsid w:val="00174E5C"/>
    <w:rsid w:val="00184B5A"/>
    <w:rsid w:val="00187421"/>
    <w:rsid w:val="00192903"/>
    <w:rsid w:val="00193A3F"/>
    <w:rsid w:val="00194540"/>
    <w:rsid w:val="001A0DED"/>
    <w:rsid w:val="001A48A0"/>
    <w:rsid w:val="001D0B6B"/>
    <w:rsid w:val="001D2C3D"/>
    <w:rsid w:val="001D4C54"/>
    <w:rsid w:val="001E51F9"/>
    <w:rsid w:val="001F18BB"/>
    <w:rsid w:val="001F43B5"/>
    <w:rsid w:val="00207E0F"/>
    <w:rsid w:val="00210386"/>
    <w:rsid w:val="00221855"/>
    <w:rsid w:val="00221EEF"/>
    <w:rsid w:val="00231A97"/>
    <w:rsid w:val="00235E78"/>
    <w:rsid w:val="00244EFD"/>
    <w:rsid w:val="002641CA"/>
    <w:rsid w:val="002642CE"/>
    <w:rsid w:val="0027101A"/>
    <w:rsid w:val="0029025A"/>
    <w:rsid w:val="002908DE"/>
    <w:rsid w:val="00290959"/>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6CCB"/>
    <w:rsid w:val="0031483F"/>
    <w:rsid w:val="00316A51"/>
    <w:rsid w:val="00321898"/>
    <w:rsid w:val="00323B98"/>
    <w:rsid w:val="00324F1A"/>
    <w:rsid w:val="00326CDF"/>
    <w:rsid w:val="00327334"/>
    <w:rsid w:val="00327716"/>
    <w:rsid w:val="00327CAF"/>
    <w:rsid w:val="00342121"/>
    <w:rsid w:val="00345AF0"/>
    <w:rsid w:val="00350696"/>
    <w:rsid w:val="0035196C"/>
    <w:rsid w:val="003555C7"/>
    <w:rsid w:val="00366146"/>
    <w:rsid w:val="0038030D"/>
    <w:rsid w:val="003B0DDF"/>
    <w:rsid w:val="003B559E"/>
    <w:rsid w:val="003C5187"/>
    <w:rsid w:val="003D462D"/>
    <w:rsid w:val="003D5082"/>
    <w:rsid w:val="003F67E8"/>
    <w:rsid w:val="00400027"/>
    <w:rsid w:val="00400D85"/>
    <w:rsid w:val="0043030A"/>
    <w:rsid w:val="00437586"/>
    <w:rsid w:val="004379EC"/>
    <w:rsid w:val="0044492C"/>
    <w:rsid w:val="00453D3F"/>
    <w:rsid w:val="00461EDB"/>
    <w:rsid w:val="004672CD"/>
    <w:rsid w:val="004711C3"/>
    <w:rsid w:val="00474A83"/>
    <w:rsid w:val="0048511E"/>
    <w:rsid w:val="00486F2B"/>
    <w:rsid w:val="00497A0B"/>
    <w:rsid w:val="004A06E3"/>
    <w:rsid w:val="004A269F"/>
    <w:rsid w:val="004A5A55"/>
    <w:rsid w:val="004A7C79"/>
    <w:rsid w:val="004C4E41"/>
    <w:rsid w:val="004D287F"/>
    <w:rsid w:val="004F0431"/>
    <w:rsid w:val="004F5042"/>
    <w:rsid w:val="004F6422"/>
    <w:rsid w:val="00500886"/>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B636C"/>
    <w:rsid w:val="005E6EB1"/>
    <w:rsid w:val="005F3E94"/>
    <w:rsid w:val="005F5AD0"/>
    <w:rsid w:val="006009DD"/>
    <w:rsid w:val="006031D8"/>
    <w:rsid w:val="00605A83"/>
    <w:rsid w:val="0060702F"/>
    <w:rsid w:val="0061081A"/>
    <w:rsid w:val="00615708"/>
    <w:rsid w:val="00620E84"/>
    <w:rsid w:val="006340E5"/>
    <w:rsid w:val="006400CA"/>
    <w:rsid w:val="006531FE"/>
    <w:rsid w:val="00673695"/>
    <w:rsid w:val="006A05EE"/>
    <w:rsid w:val="006A4929"/>
    <w:rsid w:val="006B17CF"/>
    <w:rsid w:val="006C428B"/>
    <w:rsid w:val="006C7E5D"/>
    <w:rsid w:val="006D0CC2"/>
    <w:rsid w:val="006D575A"/>
    <w:rsid w:val="006D575C"/>
    <w:rsid w:val="006F3B2C"/>
    <w:rsid w:val="006F5059"/>
    <w:rsid w:val="006F5640"/>
    <w:rsid w:val="006F5903"/>
    <w:rsid w:val="006F6C3E"/>
    <w:rsid w:val="0070518D"/>
    <w:rsid w:val="00717821"/>
    <w:rsid w:val="00722E62"/>
    <w:rsid w:val="00722E95"/>
    <w:rsid w:val="00746F4D"/>
    <w:rsid w:val="00747DEB"/>
    <w:rsid w:val="00750320"/>
    <w:rsid w:val="007548D4"/>
    <w:rsid w:val="007549B2"/>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312F1"/>
    <w:rsid w:val="00834579"/>
    <w:rsid w:val="00835933"/>
    <w:rsid w:val="00856918"/>
    <w:rsid w:val="008624CE"/>
    <w:rsid w:val="0087565C"/>
    <w:rsid w:val="008A4E5B"/>
    <w:rsid w:val="008B2EFD"/>
    <w:rsid w:val="008B3FDB"/>
    <w:rsid w:val="008B4DB4"/>
    <w:rsid w:val="008C4FDA"/>
    <w:rsid w:val="008C69EF"/>
    <w:rsid w:val="008D0BEA"/>
    <w:rsid w:val="008D3F18"/>
    <w:rsid w:val="008E3CDA"/>
    <w:rsid w:val="008E7EB5"/>
    <w:rsid w:val="008F0027"/>
    <w:rsid w:val="008F680E"/>
    <w:rsid w:val="009014B3"/>
    <w:rsid w:val="0090725E"/>
    <w:rsid w:val="00910062"/>
    <w:rsid w:val="00914535"/>
    <w:rsid w:val="00954E0C"/>
    <w:rsid w:val="009651C0"/>
    <w:rsid w:val="009670CB"/>
    <w:rsid w:val="00976BA9"/>
    <w:rsid w:val="009801EC"/>
    <w:rsid w:val="0098046A"/>
    <w:rsid w:val="009A1C86"/>
    <w:rsid w:val="009A22A1"/>
    <w:rsid w:val="009A46BD"/>
    <w:rsid w:val="009A5A19"/>
    <w:rsid w:val="009A7966"/>
    <w:rsid w:val="009B1728"/>
    <w:rsid w:val="009B5B78"/>
    <w:rsid w:val="009C170C"/>
    <w:rsid w:val="009D6A6F"/>
    <w:rsid w:val="009F0919"/>
    <w:rsid w:val="009F09DF"/>
    <w:rsid w:val="009F5431"/>
    <w:rsid w:val="00A02694"/>
    <w:rsid w:val="00A033D7"/>
    <w:rsid w:val="00A108C2"/>
    <w:rsid w:val="00A13299"/>
    <w:rsid w:val="00A17554"/>
    <w:rsid w:val="00A21F94"/>
    <w:rsid w:val="00A27FCD"/>
    <w:rsid w:val="00A3177A"/>
    <w:rsid w:val="00A319E2"/>
    <w:rsid w:val="00A41B2A"/>
    <w:rsid w:val="00A5664B"/>
    <w:rsid w:val="00A56B40"/>
    <w:rsid w:val="00A56D0A"/>
    <w:rsid w:val="00A66B8C"/>
    <w:rsid w:val="00A70CCB"/>
    <w:rsid w:val="00A868D7"/>
    <w:rsid w:val="00A93B36"/>
    <w:rsid w:val="00A95AD2"/>
    <w:rsid w:val="00A96D3C"/>
    <w:rsid w:val="00AA258F"/>
    <w:rsid w:val="00AA319F"/>
    <w:rsid w:val="00AA44FE"/>
    <w:rsid w:val="00AB14EE"/>
    <w:rsid w:val="00AB43C1"/>
    <w:rsid w:val="00AB7E6F"/>
    <w:rsid w:val="00AC267A"/>
    <w:rsid w:val="00B10731"/>
    <w:rsid w:val="00B10FF2"/>
    <w:rsid w:val="00B178C0"/>
    <w:rsid w:val="00B21E5C"/>
    <w:rsid w:val="00B23C1F"/>
    <w:rsid w:val="00B30C9E"/>
    <w:rsid w:val="00B30D98"/>
    <w:rsid w:val="00B33011"/>
    <w:rsid w:val="00B33634"/>
    <w:rsid w:val="00B36A5E"/>
    <w:rsid w:val="00B406AD"/>
    <w:rsid w:val="00B47D3C"/>
    <w:rsid w:val="00B53B99"/>
    <w:rsid w:val="00B546E8"/>
    <w:rsid w:val="00B64D04"/>
    <w:rsid w:val="00B74997"/>
    <w:rsid w:val="00B83C9E"/>
    <w:rsid w:val="00B87C1E"/>
    <w:rsid w:val="00B9239A"/>
    <w:rsid w:val="00BB3F4E"/>
    <w:rsid w:val="00BD06B3"/>
    <w:rsid w:val="00BD1CA6"/>
    <w:rsid w:val="00BD2FF9"/>
    <w:rsid w:val="00BE543D"/>
    <w:rsid w:val="00BE6670"/>
    <w:rsid w:val="00BF38D1"/>
    <w:rsid w:val="00BF50E7"/>
    <w:rsid w:val="00BF59C0"/>
    <w:rsid w:val="00BF745F"/>
    <w:rsid w:val="00C016FF"/>
    <w:rsid w:val="00C1294E"/>
    <w:rsid w:val="00C167F7"/>
    <w:rsid w:val="00C17823"/>
    <w:rsid w:val="00C22116"/>
    <w:rsid w:val="00C24B9D"/>
    <w:rsid w:val="00C427E1"/>
    <w:rsid w:val="00C42987"/>
    <w:rsid w:val="00C42D39"/>
    <w:rsid w:val="00C47603"/>
    <w:rsid w:val="00C549AC"/>
    <w:rsid w:val="00C55B7E"/>
    <w:rsid w:val="00C57901"/>
    <w:rsid w:val="00C625B9"/>
    <w:rsid w:val="00C70AA8"/>
    <w:rsid w:val="00C7645A"/>
    <w:rsid w:val="00C7690A"/>
    <w:rsid w:val="00C832A5"/>
    <w:rsid w:val="00C90765"/>
    <w:rsid w:val="00C949FA"/>
    <w:rsid w:val="00C959D4"/>
    <w:rsid w:val="00CA5843"/>
    <w:rsid w:val="00CB090A"/>
    <w:rsid w:val="00CB2293"/>
    <w:rsid w:val="00CB5274"/>
    <w:rsid w:val="00CC0BF3"/>
    <w:rsid w:val="00CC348F"/>
    <w:rsid w:val="00CC4F3E"/>
    <w:rsid w:val="00CC7B96"/>
    <w:rsid w:val="00CD02F3"/>
    <w:rsid w:val="00CD775E"/>
    <w:rsid w:val="00CE28DC"/>
    <w:rsid w:val="00CE3A26"/>
    <w:rsid w:val="00CE7580"/>
    <w:rsid w:val="00CF03A5"/>
    <w:rsid w:val="00D01617"/>
    <w:rsid w:val="00D03329"/>
    <w:rsid w:val="00D0677B"/>
    <w:rsid w:val="00D10C6F"/>
    <w:rsid w:val="00D154C6"/>
    <w:rsid w:val="00D17298"/>
    <w:rsid w:val="00D26D0C"/>
    <w:rsid w:val="00D33F38"/>
    <w:rsid w:val="00D406AA"/>
    <w:rsid w:val="00D42BC7"/>
    <w:rsid w:val="00D44B64"/>
    <w:rsid w:val="00D4766A"/>
    <w:rsid w:val="00D53881"/>
    <w:rsid w:val="00D55AFF"/>
    <w:rsid w:val="00D656C3"/>
    <w:rsid w:val="00D84906"/>
    <w:rsid w:val="00D85316"/>
    <w:rsid w:val="00D95864"/>
    <w:rsid w:val="00D95AFC"/>
    <w:rsid w:val="00DB7584"/>
    <w:rsid w:val="00DC3928"/>
    <w:rsid w:val="00DC78BD"/>
    <w:rsid w:val="00DD3025"/>
    <w:rsid w:val="00DD4B1C"/>
    <w:rsid w:val="00DE2FB6"/>
    <w:rsid w:val="00DE4E69"/>
    <w:rsid w:val="00DF4D89"/>
    <w:rsid w:val="00DF66DF"/>
    <w:rsid w:val="00E07593"/>
    <w:rsid w:val="00E12817"/>
    <w:rsid w:val="00E16B48"/>
    <w:rsid w:val="00E2189A"/>
    <w:rsid w:val="00E22251"/>
    <w:rsid w:val="00E26A4A"/>
    <w:rsid w:val="00E40E3A"/>
    <w:rsid w:val="00E432B1"/>
    <w:rsid w:val="00E446E4"/>
    <w:rsid w:val="00E53373"/>
    <w:rsid w:val="00E57312"/>
    <w:rsid w:val="00E606AC"/>
    <w:rsid w:val="00E61A25"/>
    <w:rsid w:val="00E62ABF"/>
    <w:rsid w:val="00E731B5"/>
    <w:rsid w:val="00E77EFB"/>
    <w:rsid w:val="00E811E1"/>
    <w:rsid w:val="00E861E0"/>
    <w:rsid w:val="00E869D5"/>
    <w:rsid w:val="00E90B20"/>
    <w:rsid w:val="00EA2E53"/>
    <w:rsid w:val="00EA459F"/>
    <w:rsid w:val="00EA600F"/>
    <w:rsid w:val="00EB286A"/>
    <w:rsid w:val="00EF3274"/>
    <w:rsid w:val="00EF4CE0"/>
    <w:rsid w:val="00EF4DB9"/>
    <w:rsid w:val="00F03613"/>
    <w:rsid w:val="00F05C13"/>
    <w:rsid w:val="00F116FA"/>
    <w:rsid w:val="00F20300"/>
    <w:rsid w:val="00F2420A"/>
    <w:rsid w:val="00F30422"/>
    <w:rsid w:val="00F646F1"/>
    <w:rsid w:val="00F67A2D"/>
    <w:rsid w:val="00F74A45"/>
    <w:rsid w:val="00F76C4B"/>
    <w:rsid w:val="00FB090D"/>
    <w:rsid w:val="00FB57E5"/>
    <w:rsid w:val="00FB6372"/>
    <w:rsid w:val="00FB688C"/>
    <w:rsid w:val="00FC5AA8"/>
    <w:rsid w:val="00FC6B2D"/>
    <w:rsid w:val="00FD1F52"/>
    <w:rsid w:val="00FD3096"/>
    <w:rsid w:val="00FD7A1E"/>
    <w:rsid w:val="00FE3ABE"/>
    <w:rsid w:val="00FE4DE5"/>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B7C8EA"/>
  <w14:defaultImageDpi w14:val="300"/>
  <w15:docId w15:val="{07902666-2AF9-8A45-B5D2-60EA8FB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12F1"/>
    <w:rPr>
      <w:rFonts w:ascii="Calibri" w:hAnsi="Calibri"/>
      <w:sz w:val="24"/>
      <w:szCs w:val="24"/>
    </w:rPr>
  </w:style>
  <w:style w:type="paragraph" w:styleId="Heading1">
    <w:name w:val="heading 1"/>
    <w:basedOn w:val="Normal"/>
    <w:next w:val="Normal"/>
    <w:link w:val="Heading1Char"/>
    <w:uiPriority w:val="9"/>
    <w:qFormat/>
    <w:rsid w:val="00FB68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68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688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FB688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B688C"/>
    <w:pPr>
      <w:spacing w:before="100" w:beforeAutospacing="1" w:after="100" w:afterAutospacing="1"/>
    </w:pPr>
    <w:rPr>
      <w:rFonts w:ascii="Times New Roman" w:eastAsia="Times New Roman" w:hAnsi="Times New Roman"/>
      <w:lang w:eastAsia="en-GB"/>
    </w:rPr>
  </w:style>
  <w:style w:type="character" w:customStyle="1" w:styleId="Heading2Char">
    <w:name w:val="Heading 2 Char"/>
    <w:basedOn w:val="DefaultParagraphFont"/>
    <w:link w:val="Heading2"/>
    <w:uiPriority w:val="9"/>
    <w:rsid w:val="00FB68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688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DE2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927">
      <w:bodyDiv w:val="1"/>
      <w:marLeft w:val="0"/>
      <w:marRight w:val="0"/>
      <w:marTop w:val="0"/>
      <w:marBottom w:val="0"/>
      <w:divBdr>
        <w:top w:val="none" w:sz="0" w:space="0" w:color="auto"/>
        <w:left w:val="none" w:sz="0" w:space="0" w:color="auto"/>
        <w:bottom w:val="none" w:sz="0" w:space="0" w:color="auto"/>
        <w:right w:val="none" w:sz="0" w:space="0" w:color="auto"/>
      </w:divBdr>
    </w:div>
    <w:div w:id="70087251">
      <w:bodyDiv w:val="1"/>
      <w:marLeft w:val="0"/>
      <w:marRight w:val="0"/>
      <w:marTop w:val="0"/>
      <w:marBottom w:val="0"/>
      <w:divBdr>
        <w:top w:val="none" w:sz="0" w:space="0" w:color="auto"/>
        <w:left w:val="none" w:sz="0" w:space="0" w:color="auto"/>
        <w:bottom w:val="none" w:sz="0" w:space="0" w:color="auto"/>
        <w:right w:val="none" w:sz="0" w:space="0" w:color="auto"/>
      </w:divBdr>
    </w:div>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lturehealthandwellbeing.org.uk/sites/default/files/6.%20Disciplinary%2C%20greivance%2C%20whistleblowing%20DRAFT1.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ites/default/files/CHWA%20Annual%20Staff%20Appraisal%20Sheet%20TEMPLAT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nowhow.ncvo.org.uk/your-team/hr/salaries-and-benefits/sala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vingwage.org.uk/what-real-living-wag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3522C2-1139-E147-90A2-F60AD63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CHWA letterhead.dotm</Template>
  <TotalTime>33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21</cp:revision>
  <cp:lastPrinted>2019-04-04T15:22:00Z</cp:lastPrinted>
  <dcterms:created xsi:type="dcterms:W3CDTF">2020-03-19T08:01:00Z</dcterms:created>
  <dcterms:modified xsi:type="dcterms:W3CDTF">2020-09-01T13:59:00Z</dcterms:modified>
</cp:coreProperties>
</file>