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8"/>
      </w:tblGrid>
      <w:tr w:rsidR="003F6C97" w:rsidRPr="00C80F70" w14:paraId="063C6C6D" w14:textId="77777777" w:rsidTr="00661D47">
        <w:tc>
          <w:tcPr>
            <w:tcW w:w="15268" w:type="dxa"/>
            <w:shd w:val="clear" w:color="auto" w:fill="auto"/>
          </w:tcPr>
          <w:p w14:paraId="10D1C25D" w14:textId="77777777" w:rsidR="003F6C97" w:rsidRPr="00C80F70" w:rsidRDefault="003F6C97" w:rsidP="003F6C97">
            <w:pPr>
              <w:rPr>
                <w:rFonts w:cs="Arial"/>
                <w:b/>
                <w:sz w:val="24"/>
                <w:szCs w:val="24"/>
              </w:rPr>
            </w:pPr>
            <w:r w:rsidRPr="00C80F70">
              <w:rPr>
                <w:rFonts w:cs="Arial"/>
                <w:b/>
                <w:sz w:val="24"/>
                <w:szCs w:val="24"/>
              </w:rPr>
              <w:t>Checklist for submitting comments</w:t>
            </w:r>
          </w:p>
          <w:p w14:paraId="5A1A1564" w14:textId="77777777" w:rsidR="006B19C9" w:rsidRPr="00C80F70" w:rsidRDefault="006B19C9" w:rsidP="003F6C97">
            <w:pPr>
              <w:rPr>
                <w:rFonts w:cs="Arial"/>
                <w:b/>
                <w:sz w:val="24"/>
                <w:szCs w:val="24"/>
              </w:rPr>
            </w:pPr>
          </w:p>
          <w:p w14:paraId="35B39298" w14:textId="72384DF7" w:rsidR="003F6C97" w:rsidRPr="00C80F70" w:rsidRDefault="003F6C97" w:rsidP="00D36D76">
            <w:pPr>
              <w:numPr>
                <w:ilvl w:val="0"/>
                <w:numId w:val="9"/>
              </w:numPr>
              <w:rPr>
                <w:rFonts w:cs="Arial"/>
                <w:sz w:val="24"/>
                <w:szCs w:val="24"/>
              </w:rPr>
            </w:pPr>
            <w:r w:rsidRPr="00C80F70">
              <w:rPr>
                <w:rFonts w:cs="Arial"/>
                <w:sz w:val="24"/>
                <w:szCs w:val="24"/>
              </w:rPr>
              <w:t>Use this comment</w:t>
            </w:r>
            <w:r w:rsidR="00B75064" w:rsidRPr="00C80F70">
              <w:rPr>
                <w:rFonts w:cs="Arial"/>
                <w:sz w:val="24"/>
                <w:szCs w:val="24"/>
              </w:rPr>
              <w:t>s</w:t>
            </w:r>
            <w:r w:rsidRPr="00C80F70">
              <w:rPr>
                <w:rFonts w:cs="Arial"/>
                <w:sz w:val="24"/>
                <w:szCs w:val="24"/>
              </w:rPr>
              <w:t xml:space="preserve"> form and submit it as a </w:t>
            </w:r>
            <w:r w:rsidRPr="00C80F70">
              <w:rPr>
                <w:rFonts w:cs="Arial"/>
                <w:b/>
                <w:sz w:val="24"/>
                <w:szCs w:val="24"/>
              </w:rPr>
              <w:t>Word document (not a PDF)</w:t>
            </w:r>
            <w:r w:rsidR="006B19C9" w:rsidRPr="00C80F70">
              <w:rPr>
                <w:rFonts w:cs="Arial"/>
                <w:bCs/>
                <w:sz w:val="24"/>
                <w:szCs w:val="24"/>
              </w:rPr>
              <w:t>.</w:t>
            </w:r>
          </w:p>
          <w:p w14:paraId="450B8EF6" w14:textId="77777777" w:rsidR="00D36D76" w:rsidRPr="00C80F70" w:rsidRDefault="00D36D76" w:rsidP="00D36D76">
            <w:pPr>
              <w:numPr>
                <w:ilvl w:val="0"/>
                <w:numId w:val="9"/>
              </w:numPr>
              <w:rPr>
                <w:sz w:val="24"/>
                <w:szCs w:val="24"/>
              </w:rPr>
            </w:pPr>
            <w:r w:rsidRPr="00C80F70">
              <w:rPr>
                <w:sz w:val="24"/>
                <w:szCs w:val="24"/>
              </w:rPr>
              <w:t>Complete the disclosure about links with, or funding from, the tobacco industry.</w:t>
            </w:r>
          </w:p>
          <w:p w14:paraId="6778409E" w14:textId="3DCF1B46" w:rsidR="004E107E" w:rsidRPr="00C80F70" w:rsidRDefault="004E107E" w:rsidP="00D36D76">
            <w:pPr>
              <w:numPr>
                <w:ilvl w:val="0"/>
                <w:numId w:val="9"/>
              </w:numPr>
              <w:rPr>
                <w:rFonts w:cs="Arial"/>
                <w:sz w:val="24"/>
                <w:szCs w:val="24"/>
              </w:rPr>
            </w:pPr>
            <w:r w:rsidRPr="00C80F70">
              <w:rPr>
                <w:sz w:val="24"/>
                <w:szCs w:val="24"/>
              </w:rPr>
              <w:t xml:space="preserve">Include </w:t>
            </w:r>
            <w:r w:rsidR="00D64CD4" w:rsidRPr="00C80F70">
              <w:rPr>
                <w:b/>
                <w:bCs/>
                <w:sz w:val="24"/>
                <w:szCs w:val="24"/>
              </w:rPr>
              <w:t>document name,</w:t>
            </w:r>
            <w:r w:rsidR="00D64CD4" w:rsidRPr="00C80F70">
              <w:rPr>
                <w:sz w:val="24"/>
                <w:szCs w:val="24"/>
              </w:rPr>
              <w:t xml:space="preserve"> </w:t>
            </w:r>
            <w:r w:rsidRPr="00C80F70">
              <w:rPr>
                <w:b/>
                <w:sz w:val="24"/>
                <w:szCs w:val="24"/>
              </w:rPr>
              <w:t xml:space="preserve">page </w:t>
            </w:r>
            <w:r w:rsidR="00D64CD4" w:rsidRPr="00C80F70">
              <w:rPr>
                <w:b/>
                <w:sz w:val="24"/>
                <w:szCs w:val="24"/>
              </w:rPr>
              <w:t xml:space="preserve">number </w:t>
            </w:r>
            <w:r w:rsidRPr="00C80F70">
              <w:rPr>
                <w:b/>
                <w:sz w:val="24"/>
                <w:szCs w:val="24"/>
              </w:rPr>
              <w:t xml:space="preserve">and line number </w:t>
            </w:r>
            <w:r w:rsidRPr="00C80F70">
              <w:rPr>
                <w:sz w:val="24"/>
                <w:szCs w:val="24"/>
              </w:rPr>
              <w:t>of the text each comment is about.</w:t>
            </w:r>
          </w:p>
          <w:p w14:paraId="0B53D1A8" w14:textId="2DEC1E75" w:rsidR="003F6C97" w:rsidRPr="00C80F70" w:rsidRDefault="003F6C97" w:rsidP="00D36D76">
            <w:pPr>
              <w:numPr>
                <w:ilvl w:val="0"/>
                <w:numId w:val="9"/>
              </w:numPr>
              <w:rPr>
                <w:rFonts w:cs="Arial"/>
                <w:sz w:val="24"/>
                <w:szCs w:val="24"/>
              </w:rPr>
            </w:pPr>
            <w:r w:rsidRPr="00C80F70">
              <w:rPr>
                <w:rFonts w:cs="Arial"/>
                <w:sz w:val="24"/>
                <w:szCs w:val="24"/>
              </w:rPr>
              <w:t>Combine all comments from your organisation into 1 response</w:t>
            </w:r>
            <w:r w:rsidR="00DF19EC" w:rsidRPr="00C80F70">
              <w:rPr>
                <w:rFonts w:cs="Arial"/>
                <w:sz w:val="24"/>
                <w:szCs w:val="24"/>
              </w:rPr>
              <w:t xml:space="preserve"> form</w:t>
            </w:r>
            <w:r w:rsidRPr="00C80F70">
              <w:rPr>
                <w:rFonts w:cs="Arial"/>
                <w:sz w:val="24"/>
                <w:szCs w:val="24"/>
              </w:rPr>
              <w:t xml:space="preserve">. </w:t>
            </w:r>
            <w:r w:rsidRPr="00C80F70">
              <w:rPr>
                <w:rFonts w:cs="Arial"/>
                <w:b/>
                <w:sz w:val="24"/>
                <w:szCs w:val="24"/>
              </w:rPr>
              <w:t>We cannot accept more than 1 response from each organisation</w:t>
            </w:r>
            <w:r w:rsidRPr="00C80F70">
              <w:rPr>
                <w:rFonts w:cs="Arial"/>
                <w:sz w:val="24"/>
                <w:szCs w:val="24"/>
              </w:rPr>
              <w:t xml:space="preserve">. </w:t>
            </w:r>
          </w:p>
          <w:p w14:paraId="299ECEDB" w14:textId="77777777" w:rsidR="00344D98" w:rsidRPr="00C80F70" w:rsidRDefault="00344D98" w:rsidP="00D36D76">
            <w:pPr>
              <w:numPr>
                <w:ilvl w:val="0"/>
                <w:numId w:val="9"/>
              </w:numPr>
              <w:rPr>
                <w:rFonts w:cs="Arial"/>
                <w:sz w:val="24"/>
                <w:szCs w:val="24"/>
              </w:rPr>
            </w:pPr>
            <w:r w:rsidRPr="00C80F70">
              <w:rPr>
                <w:rFonts w:cs="Arial"/>
                <w:b/>
                <w:bCs/>
                <w:sz w:val="24"/>
                <w:szCs w:val="24"/>
              </w:rPr>
              <w:t>Do</w:t>
            </w:r>
            <w:r w:rsidRPr="00C80F70">
              <w:rPr>
                <w:rFonts w:cs="Arial"/>
                <w:sz w:val="24"/>
                <w:szCs w:val="24"/>
              </w:rPr>
              <w:t xml:space="preserve"> </w:t>
            </w:r>
            <w:r w:rsidRPr="00C80F70">
              <w:rPr>
                <w:rFonts w:cs="Arial"/>
                <w:b/>
                <w:bCs/>
                <w:sz w:val="24"/>
                <w:szCs w:val="24"/>
              </w:rPr>
              <w:t>not</w:t>
            </w:r>
            <w:r w:rsidRPr="00C80F70">
              <w:rPr>
                <w:rFonts w:cs="Arial"/>
                <w:sz w:val="24"/>
                <w:szCs w:val="24"/>
              </w:rPr>
              <w:t xml:space="preserve"> paste other tables into this table – type directly into the table.</w:t>
            </w:r>
          </w:p>
          <w:p w14:paraId="4C728392" w14:textId="77777777" w:rsidR="0073545F" w:rsidRPr="00C80F70" w:rsidRDefault="0073545F" w:rsidP="005A431F">
            <w:pPr>
              <w:numPr>
                <w:ilvl w:val="0"/>
                <w:numId w:val="9"/>
              </w:numPr>
              <w:rPr>
                <w:rFonts w:cs="Arial"/>
                <w:sz w:val="24"/>
                <w:szCs w:val="24"/>
              </w:rPr>
            </w:pPr>
            <w:r w:rsidRPr="00C80F70">
              <w:rPr>
                <w:sz w:val="24"/>
                <w:szCs w:val="24"/>
              </w:rPr>
              <w:t xml:space="preserve">Ensure each comment stands alone; </w:t>
            </w:r>
            <w:r w:rsidRPr="00C80F70">
              <w:rPr>
                <w:b/>
                <w:bCs/>
                <w:sz w:val="24"/>
                <w:szCs w:val="24"/>
              </w:rPr>
              <w:t>do not</w:t>
            </w:r>
            <w:r w:rsidRPr="00C80F70">
              <w:rPr>
                <w:sz w:val="24"/>
                <w:szCs w:val="24"/>
              </w:rPr>
              <w:t xml:space="preserve"> cross-refer within one comment to another comment.</w:t>
            </w:r>
          </w:p>
          <w:p w14:paraId="602E53F9" w14:textId="77777777" w:rsidR="003F6C97" w:rsidRPr="00C80F70" w:rsidRDefault="006B19C9" w:rsidP="00D36D76">
            <w:pPr>
              <w:numPr>
                <w:ilvl w:val="0"/>
                <w:numId w:val="9"/>
              </w:numPr>
              <w:rPr>
                <w:rFonts w:cs="Arial"/>
                <w:b/>
                <w:sz w:val="24"/>
                <w:szCs w:val="24"/>
              </w:rPr>
            </w:pPr>
            <w:r w:rsidRPr="00C80F70">
              <w:rPr>
                <w:rFonts w:cs="Arial"/>
                <w:b/>
                <w:sz w:val="24"/>
                <w:szCs w:val="24"/>
              </w:rPr>
              <w:t>Clearly m</w:t>
            </w:r>
            <w:r w:rsidR="00BA3872" w:rsidRPr="00C80F70">
              <w:rPr>
                <w:rFonts w:cs="Arial"/>
                <w:b/>
                <w:sz w:val="24"/>
                <w:szCs w:val="24"/>
              </w:rPr>
              <w:t>ark</w:t>
            </w:r>
            <w:r w:rsidR="003F6C97" w:rsidRPr="00C80F70">
              <w:rPr>
                <w:rFonts w:cs="Arial"/>
                <w:b/>
                <w:sz w:val="24"/>
                <w:szCs w:val="24"/>
              </w:rPr>
              <w:t xml:space="preserve"> any confidential information or other material that you do not wish to be made public. </w:t>
            </w:r>
            <w:r w:rsidR="00AA6E9B" w:rsidRPr="00C80F70">
              <w:rPr>
                <w:rFonts w:cs="Arial"/>
                <w:b/>
                <w:sz w:val="24"/>
                <w:szCs w:val="24"/>
              </w:rPr>
              <w:t>Also, ensure you state in your email to NICE that your submission includes confidential comments.</w:t>
            </w:r>
          </w:p>
          <w:p w14:paraId="6C5872C9" w14:textId="77777777" w:rsidR="003F6C97" w:rsidRPr="00C80F70" w:rsidRDefault="003F6C97" w:rsidP="00D36D76">
            <w:pPr>
              <w:numPr>
                <w:ilvl w:val="0"/>
                <w:numId w:val="9"/>
              </w:numPr>
              <w:rPr>
                <w:rFonts w:cs="Arial"/>
                <w:sz w:val="24"/>
                <w:szCs w:val="24"/>
              </w:rPr>
            </w:pPr>
            <w:r w:rsidRPr="00C80F70">
              <w:rPr>
                <w:rFonts w:cs="Arial"/>
                <w:b/>
                <w:bCs/>
                <w:sz w:val="24"/>
                <w:szCs w:val="24"/>
              </w:rPr>
              <w:t xml:space="preserve">Do not </w:t>
            </w:r>
            <w:r w:rsidR="00E76FCA" w:rsidRPr="00C80F70">
              <w:rPr>
                <w:b/>
                <w:bCs/>
                <w:iCs/>
                <w:sz w:val="24"/>
                <w:szCs w:val="24"/>
              </w:rPr>
              <w:t xml:space="preserve">name or identify any person or </w:t>
            </w:r>
            <w:r w:rsidRPr="00C80F70">
              <w:rPr>
                <w:rFonts w:cs="Arial"/>
                <w:b/>
                <w:bCs/>
                <w:sz w:val="24"/>
                <w:szCs w:val="24"/>
              </w:rPr>
              <w:t>include medical information about yourself or another person</w:t>
            </w:r>
            <w:r w:rsidRPr="00C80F70">
              <w:rPr>
                <w:rFonts w:cs="Arial"/>
                <w:sz w:val="24"/>
                <w:szCs w:val="24"/>
              </w:rPr>
              <w:t xml:space="preserve"> from which you or the person could be identified </w:t>
            </w:r>
            <w:r w:rsidR="00E76FCA" w:rsidRPr="00C80F70">
              <w:rPr>
                <w:iCs/>
                <w:sz w:val="24"/>
                <w:szCs w:val="24"/>
              </w:rPr>
              <w:t>as all such data will be deleted</w:t>
            </w:r>
            <w:r w:rsidR="00214A02" w:rsidRPr="00C80F70">
              <w:rPr>
                <w:iCs/>
                <w:sz w:val="24"/>
                <w:szCs w:val="24"/>
              </w:rPr>
              <w:t xml:space="preserve"> or redacted</w:t>
            </w:r>
            <w:r w:rsidR="00E76FCA" w:rsidRPr="00C80F70">
              <w:rPr>
                <w:iCs/>
                <w:sz w:val="24"/>
                <w:szCs w:val="24"/>
              </w:rPr>
              <w:t>.</w:t>
            </w:r>
          </w:p>
          <w:p w14:paraId="1838887A" w14:textId="6C401A27" w:rsidR="003F6C97" w:rsidRPr="00C80F70" w:rsidRDefault="003F6C97" w:rsidP="00D36D76">
            <w:pPr>
              <w:numPr>
                <w:ilvl w:val="0"/>
                <w:numId w:val="9"/>
              </w:numPr>
              <w:rPr>
                <w:rFonts w:cs="Arial"/>
                <w:sz w:val="24"/>
                <w:szCs w:val="24"/>
              </w:rPr>
            </w:pPr>
            <w:r w:rsidRPr="00C80F70">
              <w:rPr>
                <w:rFonts w:cs="Arial"/>
                <w:sz w:val="24"/>
                <w:szCs w:val="24"/>
              </w:rPr>
              <w:t>Spell out any abbreviations you use</w:t>
            </w:r>
            <w:r w:rsidR="00B75064" w:rsidRPr="00C80F70">
              <w:rPr>
                <w:rFonts w:cs="Arial"/>
                <w:sz w:val="24"/>
                <w:szCs w:val="24"/>
              </w:rPr>
              <w:t>.</w:t>
            </w:r>
          </w:p>
          <w:p w14:paraId="4BD862BF" w14:textId="75D13324" w:rsidR="003F6C97" w:rsidRPr="00C80F70" w:rsidRDefault="003F6C97" w:rsidP="00D36D76">
            <w:pPr>
              <w:numPr>
                <w:ilvl w:val="0"/>
                <w:numId w:val="9"/>
              </w:numPr>
              <w:rPr>
                <w:rFonts w:cs="Arial"/>
                <w:sz w:val="24"/>
                <w:szCs w:val="24"/>
              </w:rPr>
            </w:pPr>
            <w:r w:rsidRPr="00C80F70">
              <w:rPr>
                <w:rFonts w:cs="Arial"/>
                <w:sz w:val="24"/>
                <w:szCs w:val="24"/>
              </w:rPr>
              <w:t xml:space="preserve">For copyright reasons, </w:t>
            </w:r>
            <w:r w:rsidRPr="00C80F70">
              <w:rPr>
                <w:rFonts w:cs="Arial"/>
                <w:b/>
                <w:sz w:val="24"/>
                <w:szCs w:val="24"/>
              </w:rPr>
              <w:t>do not include attachments</w:t>
            </w:r>
            <w:r w:rsidRPr="00C80F70">
              <w:rPr>
                <w:rFonts w:cs="Arial"/>
                <w:sz w:val="24"/>
                <w:szCs w:val="24"/>
              </w:rPr>
              <w:t xml:space="preserve"> such as research articles, </w:t>
            </w:r>
            <w:r w:rsidR="00BC546D" w:rsidRPr="00C80F70">
              <w:rPr>
                <w:rFonts w:cs="Arial"/>
                <w:sz w:val="24"/>
                <w:szCs w:val="24"/>
              </w:rPr>
              <w:t>letters,</w:t>
            </w:r>
            <w:r w:rsidRPr="00C80F70">
              <w:rPr>
                <w:rFonts w:cs="Arial"/>
                <w:sz w:val="24"/>
                <w:szCs w:val="24"/>
              </w:rPr>
              <w:t xml:space="preserve"> or leaflets. We return comments forms that have attachments without reading them. </w:t>
            </w:r>
            <w:r w:rsidR="00753C2B">
              <w:rPr>
                <w:rFonts w:cs="Arial"/>
                <w:sz w:val="24"/>
                <w:szCs w:val="24"/>
              </w:rPr>
              <w:t>You</w:t>
            </w:r>
            <w:r w:rsidRPr="00C80F70">
              <w:rPr>
                <w:rFonts w:cs="Arial"/>
                <w:sz w:val="24"/>
                <w:szCs w:val="24"/>
              </w:rPr>
              <w:t xml:space="preserve"> may resubmit the form without attachments, but it must be received by the deadline.</w:t>
            </w:r>
          </w:p>
          <w:p w14:paraId="0DC2B994" w14:textId="77777777" w:rsidR="009244E9" w:rsidRPr="00C80F70" w:rsidRDefault="009244E9" w:rsidP="00D36D76">
            <w:pPr>
              <w:numPr>
                <w:ilvl w:val="0"/>
                <w:numId w:val="9"/>
              </w:numPr>
              <w:rPr>
                <w:rFonts w:cs="Arial"/>
                <w:b/>
                <w:sz w:val="24"/>
                <w:szCs w:val="24"/>
              </w:rPr>
            </w:pPr>
            <w:r w:rsidRPr="00C80F70">
              <w:rPr>
                <w:rFonts w:cs="Arial"/>
                <w:b/>
                <w:sz w:val="24"/>
                <w:szCs w:val="24"/>
              </w:rPr>
              <w:t xml:space="preserve">We do not accept comments submitted after the deadline stated for close of consultation. </w:t>
            </w:r>
          </w:p>
          <w:p w14:paraId="4D51ED6A" w14:textId="77777777" w:rsidR="00451953" w:rsidRPr="00C80F70" w:rsidRDefault="00451953" w:rsidP="00451953">
            <w:pPr>
              <w:rPr>
                <w:sz w:val="24"/>
                <w:szCs w:val="24"/>
              </w:rPr>
            </w:pPr>
          </w:p>
          <w:p w14:paraId="3ED91514" w14:textId="2908AFED" w:rsidR="003F6C97" w:rsidRPr="00C80F70" w:rsidRDefault="00392C6A" w:rsidP="00392C6A">
            <w:pPr>
              <w:pStyle w:val="Paragraphnonumbers"/>
              <w:spacing w:after="120" w:line="240" w:lineRule="auto"/>
              <w:rPr>
                <w:rFonts w:cs="Arial"/>
              </w:rPr>
            </w:pPr>
            <w:r w:rsidRPr="00C80F70">
              <w:rPr>
                <w:rFonts w:cs="Arial"/>
              </w:rPr>
              <w:t>You can see any guidance that we have produced on topics related to this guideline by checking</w:t>
            </w:r>
            <w:r w:rsidR="003F6C97" w:rsidRPr="00C80F70">
              <w:rPr>
                <w:rFonts w:cs="Arial"/>
              </w:rPr>
              <w:t xml:space="preserve"> </w:t>
            </w:r>
            <w:hyperlink r:id="rId8" w:history="1">
              <w:r w:rsidR="003F6C97" w:rsidRPr="00C80F70">
                <w:rPr>
                  <w:rStyle w:val="Hyperlink"/>
                  <w:rFonts w:cs="Arial"/>
                </w:rPr>
                <w:t>NICE Pathways</w:t>
              </w:r>
            </w:hyperlink>
            <w:r w:rsidRPr="00C80F70">
              <w:rPr>
                <w:rFonts w:cs="Arial"/>
              </w:rPr>
              <w:t>.</w:t>
            </w:r>
          </w:p>
          <w:p w14:paraId="290A802E" w14:textId="77777777" w:rsidR="000C30A4" w:rsidRPr="00C80F70" w:rsidRDefault="000C30A4" w:rsidP="000C30A4">
            <w:pPr>
              <w:pStyle w:val="NICEnormal"/>
              <w:spacing w:after="120" w:line="240" w:lineRule="auto"/>
              <w:rPr>
                <w:rFonts w:cs="Arial"/>
                <w:lang w:val="en-GB"/>
              </w:rPr>
            </w:pPr>
            <w:r w:rsidRPr="00C80F70">
              <w:rPr>
                <w:rFonts w:cs="Arial"/>
                <w:b/>
                <w:lang w:val="en-GB"/>
              </w:rPr>
              <w:t>Note:</w:t>
            </w:r>
            <w:r w:rsidRPr="00C80F70">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p>
          <w:p w14:paraId="2DD2ACD0" w14:textId="342A0B51" w:rsidR="005F2CB3" w:rsidRPr="00C80F70" w:rsidRDefault="000C30A4" w:rsidP="006B19C9">
            <w:pPr>
              <w:pStyle w:val="Paragraphnonumbers"/>
              <w:spacing w:after="120" w:line="240" w:lineRule="auto"/>
              <w:rPr>
                <w:rFonts w:cs="Arial"/>
                <w:bCs/>
              </w:rPr>
            </w:pPr>
            <w:r w:rsidRPr="00C80F70">
              <w:rPr>
                <w:rFonts w:cs="Arial"/>
                <w:bCs/>
              </w:rPr>
              <w:t xml:space="preserve">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 </w:t>
            </w:r>
          </w:p>
        </w:tc>
      </w:tr>
    </w:tbl>
    <w:p w14:paraId="5718424D" w14:textId="77777777" w:rsidR="00B81DC8" w:rsidRDefault="00B81DC8" w:rsidP="00FC2698">
      <w:pPr>
        <w:rPr>
          <w:rFonts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3"/>
        <w:gridCol w:w="12495"/>
      </w:tblGrid>
      <w:tr w:rsidR="00661D47" w:rsidRPr="006B094C" w14:paraId="0FE28B01" w14:textId="77777777" w:rsidTr="005A0087">
        <w:trPr>
          <w:cantSplit/>
        </w:trPr>
        <w:tc>
          <w:tcPr>
            <w:tcW w:w="908" w:type="pct"/>
            <w:shd w:val="clear" w:color="auto" w:fill="FFFFFF"/>
          </w:tcPr>
          <w:p w14:paraId="66C01EFF" w14:textId="77777777" w:rsidR="00661D47" w:rsidRPr="006B094C" w:rsidRDefault="00661D47" w:rsidP="00533D9C">
            <w:pPr>
              <w:rPr>
                <w:rFonts w:cs="Arial"/>
                <w:b/>
                <w:szCs w:val="22"/>
              </w:rPr>
            </w:pPr>
          </w:p>
        </w:tc>
        <w:tc>
          <w:tcPr>
            <w:tcW w:w="4092" w:type="pct"/>
            <w:shd w:val="clear" w:color="auto" w:fill="FFFFFF"/>
          </w:tcPr>
          <w:p w14:paraId="737212A5" w14:textId="3EE0746A" w:rsidR="00661D47" w:rsidRPr="00001447" w:rsidRDefault="00661D47" w:rsidP="00533D9C">
            <w:pPr>
              <w:shd w:val="clear" w:color="auto" w:fill="FFFFFF"/>
              <w:spacing w:after="120"/>
              <w:rPr>
                <w:rFonts w:cs="Arial"/>
                <w:b/>
                <w:bCs/>
                <w:szCs w:val="22"/>
                <w:lang w:val="en"/>
              </w:rPr>
            </w:pPr>
            <w:r w:rsidRPr="006B094C">
              <w:rPr>
                <w:rFonts w:cs="Arial"/>
                <w:b/>
                <w:bCs/>
                <w:szCs w:val="22"/>
                <w:lang w:val="en"/>
              </w:rPr>
              <w:t>Please read the checklist</w:t>
            </w:r>
            <w:r w:rsidR="0011091D">
              <w:rPr>
                <w:rFonts w:cs="Arial"/>
                <w:b/>
                <w:bCs/>
                <w:szCs w:val="22"/>
                <w:lang w:val="en"/>
              </w:rPr>
              <w:t xml:space="preserve"> above</w:t>
            </w:r>
            <w:r w:rsidRPr="006B094C">
              <w:rPr>
                <w:rFonts w:cs="Arial"/>
                <w:b/>
                <w:bCs/>
                <w:szCs w:val="22"/>
                <w:lang w:val="en"/>
              </w:rPr>
              <w:t xml:space="preserve"> </w:t>
            </w:r>
            <w:r w:rsidR="0011091D">
              <w:rPr>
                <w:rFonts w:cs="Arial"/>
                <w:b/>
                <w:bCs/>
                <w:szCs w:val="22"/>
                <w:lang w:val="en"/>
              </w:rPr>
              <w:t>be</w:t>
            </w:r>
            <w:r w:rsidRPr="006B094C">
              <w:rPr>
                <w:rFonts w:cs="Arial"/>
                <w:b/>
                <w:bCs/>
                <w:szCs w:val="22"/>
                <w:lang w:val="en"/>
              </w:rPr>
              <w:t>for</w:t>
            </w:r>
            <w:r w:rsidR="0011091D">
              <w:rPr>
                <w:rFonts w:cs="Arial"/>
                <w:b/>
                <w:bCs/>
                <w:szCs w:val="22"/>
                <w:lang w:val="en"/>
              </w:rPr>
              <w:t>e</w:t>
            </w:r>
            <w:r w:rsidR="00001447">
              <w:rPr>
                <w:rFonts w:cs="Arial"/>
                <w:b/>
                <w:bCs/>
                <w:szCs w:val="22"/>
                <w:lang w:val="en"/>
              </w:rPr>
              <w:t xml:space="preserve"> </w:t>
            </w:r>
            <w:r w:rsidRPr="006B094C">
              <w:rPr>
                <w:rFonts w:cs="Arial"/>
                <w:b/>
                <w:bCs/>
                <w:szCs w:val="22"/>
                <w:lang w:val="en"/>
              </w:rPr>
              <w:t>submitting comments.</w:t>
            </w:r>
            <w:r w:rsidRPr="006B094C">
              <w:rPr>
                <w:rFonts w:cs="Arial"/>
                <w:bCs/>
                <w:szCs w:val="22"/>
                <w:lang w:val="en"/>
              </w:rPr>
              <w:t xml:space="preserve"> </w:t>
            </w:r>
            <w:r w:rsidRPr="006B094C">
              <w:rPr>
                <w:rFonts w:cs="Arial"/>
                <w:b/>
                <w:szCs w:val="22"/>
                <w:lang w:val="en"/>
              </w:rPr>
              <w:t xml:space="preserve">We cannot accept forms that are not filled in correctly. </w:t>
            </w:r>
          </w:p>
          <w:p w14:paraId="7A42475D" w14:textId="77777777" w:rsidR="00661D47" w:rsidRPr="006B094C" w:rsidRDefault="00661D47" w:rsidP="00533D9C">
            <w:pPr>
              <w:shd w:val="clear" w:color="auto" w:fill="FFFFFF"/>
              <w:spacing w:after="120"/>
              <w:rPr>
                <w:rFonts w:cs="Arial"/>
                <w:bCs/>
                <w:szCs w:val="22"/>
                <w:lang w:val="en"/>
              </w:rPr>
            </w:pPr>
            <w:r w:rsidRPr="006B094C">
              <w:rPr>
                <w:rFonts w:cs="Arial"/>
                <w:bCs/>
                <w:szCs w:val="22"/>
                <w:lang w:val="en"/>
              </w:rPr>
              <w:t>We would like to hear your views on the draft recommendations presented in the guideline, and any comments you may have on the rationale and impact sections in the guideline and the evidence presented in the evidence reviews documents. We would also welcome views on the Equality Impact Assessment.</w:t>
            </w:r>
          </w:p>
          <w:p w14:paraId="5BB8ABB3" w14:textId="7AA9D244" w:rsidR="00661D47" w:rsidRPr="006B094C" w:rsidRDefault="00661D47" w:rsidP="00533D9C">
            <w:pPr>
              <w:shd w:val="clear" w:color="auto" w:fill="FFFFFF"/>
              <w:spacing w:line="276" w:lineRule="auto"/>
              <w:rPr>
                <w:rFonts w:cs="Arial"/>
                <w:szCs w:val="22"/>
              </w:rPr>
            </w:pPr>
            <w:r w:rsidRPr="006B094C">
              <w:rPr>
                <w:rFonts w:cs="Arial"/>
                <w:szCs w:val="22"/>
              </w:rPr>
              <w:t>In addition to your comments below on our guideline documents, we would like to hear your views on these questions</w:t>
            </w:r>
            <w:r w:rsidR="00300F0E">
              <w:rPr>
                <w:rFonts w:cs="Arial"/>
                <w:szCs w:val="22"/>
              </w:rPr>
              <w:t xml:space="preserve">. </w:t>
            </w:r>
            <w:r w:rsidR="00300F0E" w:rsidRPr="008452A2">
              <w:rPr>
                <w:rFonts w:cs="Arial"/>
                <w:b/>
                <w:bCs/>
                <w:szCs w:val="22"/>
              </w:rPr>
              <w:t xml:space="preserve">Please include your answers </w:t>
            </w:r>
            <w:r w:rsidR="00451B16">
              <w:rPr>
                <w:rFonts w:cs="Arial"/>
                <w:b/>
                <w:bCs/>
                <w:szCs w:val="22"/>
              </w:rPr>
              <w:t xml:space="preserve">to these questions </w:t>
            </w:r>
            <w:r w:rsidR="00300F0E" w:rsidRPr="008452A2">
              <w:rPr>
                <w:rFonts w:cs="Arial"/>
                <w:b/>
                <w:bCs/>
                <w:szCs w:val="22"/>
              </w:rPr>
              <w:t>with your comments in the table below.</w:t>
            </w:r>
          </w:p>
          <w:p w14:paraId="569FE80A" w14:textId="77777777" w:rsidR="00661D47" w:rsidRPr="006B094C" w:rsidRDefault="00661D47" w:rsidP="00533D9C">
            <w:pPr>
              <w:pStyle w:val="Paragraphnonumbers"/>
              <w:numPr>
                <w:ilvl w:val="0"/>
                <w:numId w:val="7"/>
              </w:numPr>
              <w:spacing w:after="0"/>
              <w:rPr>
                <w:rFonts w:cs="Arial"/>
                <w:bCs/>
                <w:sz w:val="22"/>
                <w:szCs w:val="22"/>
              </w:rPr>
            </w:pPr>
            <w:r w:rsidRPr="006B094C">
              <w:rPr>
                <w:rFonts w:cs="Arial"/>
                <w:bCs/>
                <w:sz w:val="22"/>
                <w:szCs w:val="22"/>
              </w:rPr>
              <w:t xml:space="preserve">Which areas will have the biggest impact on practice and be challenging to implement? Please say for whom and why. </w:t>
            </w:r>
          </w:p>
          <w:p w14:paraId="4F95A4B1" w14:textId="3EA94526" w:rsidR="00661D47" w:rsidRPr="006B094C" w:rsidRDefault="00661D47" w:rsidP="00533D9C">
            <w:pPr>
              <w:pStyle w:val="Paragraphnonumbers"/>
              <w:numPr>
                <w:ilvl w:val="0"/>
                <w:numId w:val="7"/>
              </w:numPr>
              <w:spacing w:after="0"/>
              <w:rPr>
                <w:rFonts w:cs="Arial"/>
                <w:bCs/>
                <w:sz w:val="22"/>
                <w:szCs w:val="22"/>
              </w:rPr>
            </w:pPr>
            <w:r w:rsidRPr="006B094C">
              <w:rPr>
                <w:rFonts w:cs="Arial"/>
                <w:bCs/>
                <w:sz w:val="22"/>
                <w:szCs w:val="22"/>
              </w:rPr>
              <w:t>Would implementation of any of the draft recommendations have significant cost implications?</w:t>
            </w:r>
            <w:r w:rsidR="00300F0E">
              <w:rPr>
                <w:rFonts w:cs="Arial"/>
                <w:bCs/>
                <w:sz w:val="22"/>
                <w:szCs w:val="22"/>
              </w:rPr>
              <w:t xml:space="preserve"> </w:t>
            </w:r>
          </w:p>
          <w:p w14:paraId="3ADC0B12" w14:textId="77777777" w:rsidR="00661D47" w:rsidRPr="006B094C" w:rsidRDefault="00661D47" w:rsidP="00533D9C">
            <w:pPr>
              <w:pStyle w:val="Paragraphnonumbers"/>
              <w:numPr>
                <w:ilvl w:val="0"/>
                <w:numId w:val="7"/>
              </w:numPr>
              <w:spacing w:after="0"/>
              <w:rPr>
                <w:rFonts w:cs="Arial"/>
                <w:bCs/>
                <w:sz w:val="22"/>
                <w:szCs w:val="22"/>
              </w:rPr>
            </w:pPr>
            <w:r w:rsidRPr="006B094C">
              <w:rPr>
                <w:rFonts w:cs="Arial"/>
                <w:bCs/>
                <w:sz w:val="22"/>
                <w:szCs w:val="22"/>
              </w:rPr>
              <w:t>What would help users overcome any challenges? (For example, existing practical resources or national initiatives, or examples of good practice.)</w:t>
            </w:r>
          </w:p>
          <w:p w14:paraId="26A1732E" w14:textId="22B0C7AF" w:rsidR="00661D47" w:rsidRPr="006B094C" w:rsidRDefault="00661D47" w:rsidP="00533D9C">
            <w:pPr>
              <w:pStyle w:val="Paragraphnonumbers"/>
              <w:numPr>
                <w:ilvl w:val="0"/>
                <w:numId w:val="7"/>
              </w:numPr>
              <w:spacing w:after="0"/>
              <w:rPr>
                <w:rFonts w:cs="Arial"/>
                <w:sz w:val="22"/>
                <w:szCs w:val="22"/>
              </w:rPr>
            </w:pPr>
            <w:r w:rsidRPr="006B094C">
              <w:rPr>
                <w:rFonts w:cs="Arial"/>
                <w:sz w:val="22"/>
                <w:szCs w:val="22"/>
              </w:rPr>
              <w:t>Please tell us if there are any particular issues relating to COVID-19 that we should take into account when finalising the guideline for publication.</w:t>
            </w:r>
          </w:p>
          <w:p w14:paraId="74D25DD8" w14:textId="77777777" w:rsidR="00661D47" w:rsidRDefault="00661D47" w:rsidP="00533D9C">
            <w:pPr>
              <w:shd w:val="clear" w:color="auto" w:fill="FFFFFF"/>
              <w:spacing w:line="276" w:lineRule="auto"/>
              <w:rPr>
                <w:rFonts w:cs="Arial"/>
                <w:szCs w:val="22"/>
              </w:rPr>
            </w:pPr>
            <w:r w:rsidRPr="006B094C">
              <w:rPr>
                <w:rFonts w:cs="Arial"/>
                <w:szCs w:val="22"/>
              </w:rPr>
              <w:t xml:space="preserve">See </w:t>
            </w:r>
            <w:hyperlink r:id="rId9" w:history="1">
              <w:hyperlink r:id="rId10" w:history="1">
                <w:r w:rsidRPr="006B094C">
                  <w:rPr>
                    <w:rStyle w:val="Hyperlink"/>
                    <w:rFonts w:cs="Arial"/>
                    <w:szCs w:val="22"/>
                  </w:rPr>
                  <w:t>Developing NICE guidance: how to get involved</w:t>
                </w:r>
              </w:hyperlink>
            </w:hyperlink>
            <w:r w:rsidRPr="006B094C">
              <w:rPr>
                <w:rFonts w:cs="Arial"/>
                <w:szCs w:val="22"/>
              </w:rPr>
              <w:t xml:space="preserve"> for suggestions of general points to think about when commenting.</w:t>
            </w:r>
          </w:p>
          <w:p w14:paraId="2E18FE5A" w14:textId="1353117B" w:rsidR="006B2E9B" w:rsidRPr="006B094C" w:rsidRDefault="006B2E9B" w:rsidP="00533D9C">
            <w:pPr>
              <w:shd w:val="clear" w:color="auto" w:fill="FFFFFF"/>
              <w:spacing w:line="276" w:lineRule="auto"/>
              <w:rPr>
                <w:rFonts w:cs="Arial"/>
                <w:szCs w:val="22"/>
                <w:lang w:val="en" w:eastAsia="en-GB"/>
              </w:rPr>
            </w:pPr>
          </w:p>
        </w:tc>
      </w:tr>
      <w:tr w:rsidR="00661D47" w:rsidRPr="006B094C" w14:paraId="1D0F02D5" w14:textId="77777777" w:rsidTr="005A0087">
        <w:trPr>
          <w:cantSplit/>
        </w:trPr>
        <w:tc>
          <w:tcPr>
            <w:tcW w:w="908" w:type="pct"/>
            <w:shd w:val="clear" w:color="auto" w:fill="FFFFFF"/>
          </w:tcPr>
          <w:p w14:paraId="72CDFB2E" w14:textId="7E8C52A5" w:rsidR="00661D47" w:rsidRDefault="00661D47" w:rsidP="00533D9C">
            <w:pPr>
              <w:pStyle w:val="BodyText"/>
              <w:rPr>
                <w:rFonts w:cs="Arial"/>
                <w:b w:val="0"/>
                <w:sz w:val="18"/>
                <w:szCs w:val="18"/>
              </w:rPr>
            </w:pPr>
            <w:r w:rsidRPr="006B094C">
              <w:rPr>
                <w:rFonts w:cs="Arial"/>
                <w:szCs w:val="22"/>
              </w:rPr>
              <w:t>Organisation name</w:t>
            </w:r>
            <w:r w:rsidRPr="006B094C">
              <w:rPr>
                <w:rFonts w:cs="Arial"/>
                <w:sz w:val="18"/>
                <w:szCs w:val="18"/>
              </w:rPr>
              <w:t xml:space="preserve"> </w:t>
            </w:r>
            <w:r w:rsidRPr="006B094C">
              <w:rPr>
                <w:rFonts w:cs="Arial"/>
                <w:b w:val="0"/>
                <w:sz w:val="18"/>
                <w:szCs w:val="18"/>
              </w:rPr>
              <w:t xml:space="preserve">(if you are responding as an individual rather than a registered stakeholder please </w:t>
            </w:r>
            <w:r w:rsidR="00AC71A7">
              <w:rPr>
                <w:rFonts w:cs="Arial"/>
                <w:b w:val="0"/>
                <w:sz w:val="18"/>
                <w:szCs w:val="18"/>
              </w:rPr>
              <w:t>specify</w:t>
            </w:r>
            <w:r w:rsidRPr="006B094C">
              <w:rPr>
                <w:rFonts w:cs="Arial"/>
                <w:b w:val="0"/>
                <w:sz w:val="18"/>
                <w:szCs w:val="18"/>
              </w:rPr>
              <w:t>)</w:t>
            </w:r>
            <w:r w:rsidR="00C35945" w:rsidRPr="006B094C">
              <w:rPr>
                <w:rFonts w:cs="Arial"/>
                <w:b w:val="0"/>
                <w:sz w:val="18"/>
                <w:szCs w:val="18"/>
              </w:rPr>
              <w:t>.</w:t>
            </w:r>
          </w:p>
          <w:p w14:paraId="00FB63B5" w14:textId="2C5277E3" w:rsidR="006B2E9B" w:rsidRPr="006B094C" w:rsidRDefault="006B2E9B" w:rsidP="00533D9C">
            <w:pPr>
              <w:pStyle w:val="BodyText"/>
              <w:rPr>
                <w:rFonts w:cs="Arial"/>
                <w:szCs w:val="22"/>
              </w:rPr>
            </w:pPr>
          </w:p>
        </w:tc>
        <w:tc>
          <w:tcPr>
            <w:tcW w:w="4092" w:type="pct"/>
            <w:shd w:val="clear" w:color="auto" w:fill="FFFFFF"/>
          </w:tcPr>
          <w:p w14:paraId="472CCF06" w14:textId="07A02C70" w:rsidR="00661D47" w:rsidRPr="006B094C" w:rsidRDefault="00210355" w:rsidP="00B84F37">
            <w:pPr>
              <w:spacing w:before="240"/>
              <w:rPr>
                <w:rFonts w:cs="Arial"/>
                <w:szCs w:val="22"/>
              </w:rPr>
            </w:pPr>
            <w:r>
              <w:rPr>
                <w:rFonts w:cs="Arial"/>
                <w:szCs w:val="22"/>
              </w:rPr>
              <w:t>Culture, Health and Wellbeing Alliance;</w:t>
            </w:r>
            <w:r w:rsidR="00417261">
              <w:rPr>
                <w:rFonts w:cs="Arial"/>
                <w:szCs w:val="22"/>
              </w:rPr>
              <w:t xml:space="preserve"> </w:t>
            </w:r>
            <w:r w:rsidR="00105165">
              <w:rPr>
                <w:rFonts w:cs="Arial"/>
                <w:szCs w:val="22"/>
              </w:rPr>
              <w:t xml:space="preserve">with </w:t>
            </w:r>
            <w:r w:rsidR="00417261">
              <w:rPr>
                <w:rFonts w:cs="Arial"/>
                <w:szCs w:val="22"/>
              </w:rPr>
              <w:t>the</w:t>
            </w:r>
            <w:r>
              <w:rPr>
                <w:rFonts w:cs="Arial"/>
                <w:szCs w:val="22"/>
              </w:rPr>
              <w:t xml:space="preserve"> All-Party Parliamentary Group on Arts, Health and Wellbeing; </w:t>
            </w:r>
            <w:r w:rsidR="00417261">
              <w:rPr>
                <w:rFonts w:cs="Arial"/>
                <w:szCs w:val="22"/>
              </w:rPr>
              <w:t xml:space="preserve">the LENs (lived experience network), </w:t>
            </w:r>
            <w:r>
              <w:rPr>
                <w:rFonts w:cs="Arial"/>
                <w:szCs w:val="22"/>
              </w:rPr>
              <w:t>National Centre for Creative Health; WHO Collaborating Centre for Arts &amp; Health</w:t>
            </w:r>
            <w:r w:rsidR="00227C7C">
              <w:rPr>
                <w:rFonts w:cs="Arial"/>
                <w:szCs w:val="22"/>
              </w:rPr>
              <w:t>;</w:t>
            </w:r>
            <w:r>
              <w:rPr>
                <w:rFonts w:cs="Arial"/>
                <w:szCs w:val="22"/>
              </w:rPr>
              <w:t xml:space="preserve"> and University College London.</w:t>
            </w:r>
          </w:p>
        </w:tc>
      </w:tr>
      <w:tr w:rsidR="00661D47" w:rsidRPr="006B094C" w14:paraId="279D2AAA" w14:textId="77777777" w:rsidTr="005A0087">
        <w:trPr>
          <w:cantSplit/>
        </w:trPr>
        <w:tc>
          <w:tcPr>
            <w:tcW w:w="908" w:type="pct"/>
            <w:shd w:val="clear" w:color="auto" w:fill="FFFFFF"/>
          </w:tcPr>
          <w:p w14:paraId="5EF4B911" w14:textId="77777777" w:rsidR="00661D47" w:rsidRDefault="00661D47" w:rsidP="00533D9C">
            <w:pPr>
              <w:pStyle w:val="BodyText"/>
              <w:rPr>
                <w:rFonts w:cs="Arial"/>
                <w:b w:val="0"/>
                <w:sz w:val="18"/>
                <w:szCs w:val="18"/>
              </w:rPr>
            </w:pPr>
            <w:r w:rsidRPr="006B094C">
              <w:rPr>
                <w:rFonts w:cs="Arial"/>
                <w:szCs w:val="22"/>
              </w:rPr>
              <w:t>Disclosure</w:t>
            </w:r>
            <w:r w:rsidR="00C35945" w:rsidRPr="006B094C">
              <w:rPr>
                <w:rFonts w:cs="Arial"/>
                <w:szCs w:val="22"/>
              </w:rPr>
              <w:t xml:space="preserve"> </w:t>
            </w:r>
            <w:r w:rsidR="00C35945" w:rsidRPr="006B094C">
              <w:rPr>
                <w:rFonts w:cs="Arial"/>
                <w:b w:val="0"/>
                <w:bCs w:val="0"/>
                <w:sz w:val="18"/>
                <w:szCs w:val="18"/>
              </w:rPr>
              <w:t>(p</w:t>
            </w:r>
            <w:r w:rsidRPr="006B094C">
              <w:rPr>
                <w:rFonts w:cs="Arial"/>
                <w:b w:val="0"/>
                <w:bCs w:val="0"/>
                <w:sz w:val="18"/>
                <w:szCs w:val="18"/>
              </w:rPr>
              <w:t>lease</w:t>
            </w:r>
            <w:r w:rsidRPr="006B094C">
              <w:rPr>
                <w:rFonts w:cs="Arial"/>
                <w:b w:val="0"/>
                <w:sz w:val="18"/>
                <w:szCs w:val="18"/>
              </w:rPr>
              <w:t xml:space="preserve"> disclose any past or current, direct or indirect links to, or funding from, the tobacco industry</w:t>
            </w:r>
            <w:r w:rsidR="00C35945" w:rsidRPr="006B094C">
              <w:rPr>
                <w:rFonts w:cs="Arial"/>
                <w:b w:val="0"/>
                <w:sz w:val="18"/>
                <w:szCs w:val="18"/>
              </w:rPr>
              <w:t>).</w:t>
            </w:r>
          </w:p>
          <w:p w14:paraId="7F781FF0" w14:textId="632A0AFF" w:rsidR="006B2E9B" w:rsidRPr="006B094C" w:rsidRDefault="006B2E9B" w:rsidP="00533D9C">
            <w:pPr>
              <w:pStyle w:val="BodyText"/>
              <w:rPr>
                <w:rFonts w:cs="Arial"/>
                <w:szCs w:val="22"/>
              </w:rPr>
            </w:pPr>
          </w:p>
        </w:tc>
        <w:tc>
          <w:tcPr>
            <w:tcW w:w="4092" w:type="pct"/>
            <w:shd w:val="clear" w:color="auto" w:fill="FFFFFF"/>
          </w:tcPr>
          <w:p w14:paraId="3E6E46C1" w14:textId="419A2BE0" w:rsidR="00661D47" w:rsidRPr="006B094C" w:rsidRDefault="00210355" w:rsidP="00533D9C">
            <w:pPr>
              <w:spacing w:before="240"/>
              <w:rPr>
                <w:rFonts w:cs="Arial"/>
                <w:b/>
                <w:szCs w:val="22"/>
                <w:highlight w:val="lightGray"/>
                <w:u w:val="single"/>
              </w:rPr>
            </w:pPr>
            <w:r>
              <w:rPr>
                <w:rFonts w:cs="Arial"/>
                <w:szCs w:val="22"/>
              </w:rPr>
              <w:t>None</w:t>
            </w:r>
          </w:p>
        </w:tc>
      </w:tr>
      <w:tr w:rsidR="00661D47" w:rsidRPr="006B094C" w14:paraId="5A2A9325" w14:textId="77777777" w:rsidTr="005A0087">
        <w:trPr>
          <w:cantSplit/>
        </w:trPr>
        <w:tc>
          <w:tcPr>
            <w:tcW w:w="908" w:type="pct"/>
            <w:shd w:val="clear" w:color="auto" w:fill="FFFFFF"/>
          </w:tcPr>
          <w:p w14:paraId="7EF3270A" w14:textId="789994FB" w:rsidR="00661D47" w:rsidRDefault="00661D47" w:rsidP="00533D9C">
            <w:pPr>
              <w:pStyle w:val="BodyText"/>
              <w:rPr>
                <w:rFonts w:cs="Arial"/>
                <w:szCs w:val="22"/>
              </w:rPr>
            </w:pPr>
            <w:r w:rsidRPr="006B094C">
              <w:rPr>
                <w:rFonts w:cs="Arial"/>
                <w:szCs w:val="22"/>
              </w:rPr>
              <w:t>Name of person completing form</w:t>
            </w:r>
          </w:p>
          <w:p w14:paraId="5D7602B7" w14:textId="77777777" w:rsidR="006B2E9B" w:rsidRDefault="006B2E9B" w:rsidP="00533D9C">
            <w:pPr>
              <w:pStyle w:val="BodyText"/>
              <w:rPr>
                <w:rFonts w:cs="Arial"/>
                <w:szCs w:val="22"/>
              </w:rPr>
            </w:pPr>
          </w:p>
          <w:p w14:paraId="537A7959" w14:textId="512D99E7" w:rsidR="006B2E9B" w:rsidRPr="006B094C" w:rsidRDefault="006B2E9B" w:rsidP="00533D9C">
            <w:pPr>
              <w:pStyle w:val="BodyText"/>
              <w:rPr>
                <w:rFonts w:cs="Arial"/>
                <w:szCs w:val="22"/>
              </w:rPr>
            </w:pPr>
          </w:p>
        </w:tc>
        <w:tc>
          <w:tcPr>
            <w:tcW w:w="4092" w:type="pct"/>
            <w:shd w:val="clear" w:color="auto" w:fill="FFFFFF"/>
          </w:tcPr>
          <w:p w14:paraId="7FA2D954" w14:textId="77777777" w:rsidR="00396BDE" w:rsidRDefault="00396BDE" w:rsidP="00533D9C">
            <w:pPr>
              <w:rPr>
                <w:rFonts w:cs="Arial"/>
                <w:szCs w:val="22"/>
              </w:rPr>
            </w:pPr>
          </w:p>
          <w:p w14:paraId="1628766C" w14:textId="7FCB8608" w:rsidR="00661D47" w:rsidRDefault="00210355" w:rsidP="00533D9C">
            <w:pPr>
              <w:rPr>
                <w:rFonts w:cs="Arial"/>
                <w:szCs w:val="22"/>
              </w:rPr>
            </w:pPr>
            <w:r>
              <w:rPr>
                <w:rFonts w:cs="Arial"/>
                <w:szCs w:val="22"/>
              </w:rPr>
              <w:t xml:space="preserve">Victoria Hume, </w:t>
            </w:r>
            <w:r w:rsidR="00A5277D">
              <w:rPr>
                <w:rFonts w:cs="Arial"/>
                <w:szCs w:val="22"/>
              </w:rPr>
              <w:t xml:space="preserve">Executive </w:t>
            </w:r>
            <w:r>
              <w:rPr>
                <w:rFonts w:cs="Arial"/>
                <w:szCs w:val="22"/>
              </w:rPr>
              <w:t>Director of the Culture, Health and Wellbeing Alliance</w:t>
            </w:r>
          </w:p>
          <w:p w14:paraId="125E25A4" w14:textId="77777777" w:rsidR="00396BDE" w:rsidRDefault="00396BDE" w:rsidP="00533D9C">
            <w:pPr>
              <w:rPr>
                <w:rFonts w:cs="Arial"/>
                <w:szCs w:val="22"/>
              </w:rPr>
            </w:pPr>
          </w:p>
          <w:p w14:paraId="08F81BE8" w14:textId="77777777" w:rsidR="005A0087" w:rsidRDefault="005A0087" w:rsidP="00533D9C">
            <w:pPr>
              <w:rPr>
                <w:rFonts w:cs="Arial"/>
                <w:szCs w:val="22"/>
              </w:rPr>
            </w:pPr>
          </w:p>
          <w:p w14:paraId="15FB063A" w14:textId="40D6BC06" w:rsidR="005A0087" w:rsidRPr="006B094C" w:rsidRDefault="005A0087" w:rsidP="00533D9C">
            <w:pPr>
              <w:rPr>
                <w:rFonts w:cs="Arial"/>
                <w:szCs w:val="22"/>
              </w:rPr>
            </w:pPr>
          </w:p>
        </w:tc>
      </w:tr>
    </w:tbl>
    <w:p w14:paraId="5F8DE83C" w14:textId="77777777" w:rsidR="005A0087" w:rsidRDefault="005A008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9"/>
        <w:gridCol w:w="1295"/>
        <w:gridCol w:w="1121"/>
        <w:gridCol w:w="1197"/>
        <w:gridCol w:w="10306"/>
      </w:tblGrid>
      <w:tr w:rsidR="000574FE" w:rsidRPr="006B094C" w14:paraId="508B3FD4" w14:textId="77777777" w:rsidTr="00BC7076">
        <w:tc>
          <w:tcPr>
            <w:tcW w:w="442" w:type="pct"/>
            <w:shd w:val="clear" w:color="auto" w:fill="E6E6E6"/>
          </w:tcPr>
          <w:p w14:paraId="04D4554A" w14:textId="77777777" w:rsidR="000574FE" w:rsidRPr="006B094C" w:rsidRDefault="000574FE" w:rsidP="00BC7076">
            <w:pPr>
              <w:rPr>
                <w:rFonts w:cs="Arial"/>
                <w:b/>
                <w:szCs w:val="22"/>
              </w:rPr>
            </w:pPr>
            <w:r w:rsidRPr="006B094C">
              <w:rPr>
                <w:rFonts w:cs="Arial"/>
                <w:b/>
                <w:szCs w:val="22"/>
              </w:rPr>
              <w:lastRenderedPageBreak/>
              <w:t>Comment number</w:t>
            </w:r>
          </w:p>
          <w:p w14:paraId="60D899E6" w14:textId="77777777" w:rsidR="000574FE" w:rsidRPr="006B094C" w:rsidRDefault="000574FE" w:rsidP="00BC7076">
            <w:pPr>
              <w:jc w:val="center"/>
              <w:rPr>
                <w:rFonts w:cs="Arial"/>
                <w:i/>
                <w:szCs w:val="22"/>
              </w:rPr>
            </w:pPr>
          </w:p>
        </w:tc>
        <w:tc>
          <w:tcPr>
            <w:tcW w:w="424" w:type="pct"/>
            <w:shd w:val="clear" w:color="auto" w:fill="E6E6E6"/>
          </w:tcPr>
          <w:p w14:paraId="7094F839" w14:textId="77777777" w:rsidR="000574FE" w:rsidRPr="006B094C" w:rsidRDefault="000574FE" w:rsidP="00BC7076">
            <w:pPr>
              <w:rPr>
                <w:rFonts w:cs="Arial"/>
                <w:szCs w:val="22"/>
              </w:rPr>
            </w:pPr>
            <w:r w:rsidRPr="006B094C">
              <w:rPr>
                <w:rFonts w:cs="Arial"/>
                <w:b/>
                <w:szCs w:val="22"/>
              </w:rPr>
              <w:t>Document</w:t>
            </w:r>
          </w:p>
          <w:p w14:paraId="1E03A396" w14:textId="77777777" w:rsidR="000574FE" w:rsidRPr="006B094C" w:rsidRDefault="000574FE" w:rsidP="00BC7076">
            <w:pPr>
              <w:rPr>
                <w:rFonts w:cs="Arial"/>
                <w:bCs/>
                <w:sz w:val="18"/>
                <w:szCs w:val="18"/>
              </w:rPr>
            </w:pPr>
            <w:r w:rsidRPr="006B094C">
              <w:rPr>
                <w:rFonts w:cs="Arial"/>
                <w:bCs/>
                <w:sz w:val="18"/>
                <w:szCs w:val="18"/>
              </w:rPr>
              <w:t>[</w:t>
            </w:r>
            <w:proofErr w:type="gramStart"/>
            <w:r w:rsidRPr="006B094C">
              <w:rPr>
                <w:rFonts w:cs="Arial"/>
                <w:bCs/>
                <w:sz w:val="18"/>
                <w:szCs w:val="18"/>
              </w:rPr>
              <w:t>e.g.</w:t>
            </w:r>
            <w:proofErr w:type="gramEnd"/>
            <w:r w:rsidRPr="006B094C">
              <w:rPr>
                <w:rFonts w:cs="Arial"/>
                <w:bCs/>
                <w:sz w:val="18"/>
                <w:szCs w:val="18"/>
              </w:rPr>
              <w:t xml:space="preserve"> guideline, evidence review A, B, C etc., methods</w:t>
            </w:r>
            <w:r>
              <w:rPr>
                <w:rFonts w:cs="Arial"/>
                <w:bCs/>
                <w:sz w:val="18"/>
                <w:szCs w:val="18"/>
              </w:rPr>
              <w:t>, EIA</w:t>
            </w:r>
            <w:r w:rsidRPr="006B094C">
              <w:rPr>
                <w:rFonts w:cs="Arial"/>
                <w:bCs/>
                <w:sz w:val="18"/>
                <w:szCs w:val="18"/>
              </w:rPr>
              <w:t>]</w:t>
            </w:r>
          </w:p>
        </w:tc>
        <w:tc>
          <w:tcPr>
            <w:tcW w:w="367" w:type="pct"/>
            <w:shd w:val="clear" w:color="auto" w:fill="E6E6E6"/>
          </w:tcPr>
          <w:p w14:paraId="0CA77528" w14:textId="77777777" w:rsidR="000574FE" w:rsidRPr="006B094C" w:rsidRDefault="000574FE" w:rsidP="00BC7076">
            <w:pPr>
              <w:pStyle w:val="BodyText"/>
              <w:rPr>
                <w:rFonts w:cs="Arial"/>
                <w:szCs w:val="22"/>
              </w:rPr>
            </w:pPr>
            <w:r w:rsidRPr="006B094C">
              <w:rPr>
                <w:rFonts w:cs="Arial"/>
                <w:szCs w:val="22"/>
              </w:rPr>
              <w:t>Page number</w:t>
            </w:r>
          </w:p>
          <w:p w14:paraId="0F4633D6" w14:textId="77777777" w:rsidR="000574FE" w:rsidRPr="006B094C" w:rsidRDefault="000574FE" w:rsidP="00BC7076">
            <w:pPr>
              <w:rPr>
                <w:rFonts w:cs="Arial"/>
                <w:sz w:val="18"/>
                <w:szCs w:val="18"/>
              </w:rPr>
            </w:pPr>
            <w:r w:rsidRPr="006B094C">
              <w:rPr>
                <w:rFonts w:cs="Arial"/>
                <w:b/>
                <w:sz w:val="18"/>
                <w:szCs w:val="18"/>
              </w:rPr>
              <w:t>‘General’</w:t>
            </w:r>
            <w:r w:rsidRPr="006B094C">
              <w:rPr>
                <w:rFonts w:cs="Arial"/>
                <w:sz w:val="18"/>
                <w:szCs w:val="18"/>
              </w:rPr>
              <w:t xml:space="preserve"> for comments on whole document</w:t>
            </w:r>
          </w:p>
        </w:tc>
        <w:tc>
          <w:tcPr>
            <w:tcW w:w="392" w:type="pct"/>
            <w:shd w:val="clear" w:color="auto" w:fill="E6E6E6"/>
          </w:tcPr>
          <w:p w14:paraId="133F43FB" w14:textId="77777777" w:rsidR="000574FE" w:rsidRPr="006B094C" w:rsidRDefault="000574FE" w:rsidP="00BC7076">
            <w:pPr>
              <w:pStyle w:val="BodyText"/>
              <w:rPr>
                <w:rFonts w:cs="Arial"/>
                <w:szCs w:val="22"/>
              </w:rPr>
            </w:pPr>
            <w:r w:rsidRPr="006B094C">
              <w:rPr>
                <w:rFonts w:cs="Arial"/>
                <w:szCs w:val="22"/>
              </w:rPr>
              <w:t>Line number</w:t>
            </w:r>
          </w:p>
          <w:p w14:paraId="7D1FA03D" w14:textId="77777777" w:rsidR="000574FE" w:rsidRPr="006B094C" w:rsidRDefault="000574FE" w:rsidP="00BC7076">
            <w:pPr>
              <w:rPr>
                <w:rFonts w:cs="Arial"/>
                <w:sz w:val="18"/>
                <w:szCs w:val="18"/>
              </w:rPr>
            </w:pPr>
            <w:r w:rsidRPr="006B094C">
              <w:rPr>
                <w:rFonts w:cs="Arial"/>
                <w:b/>
                <w:sz w:val="18"/>
                <w:szCs w:val="18"/>
              </w:rPr>
              <w:t>‘General’</w:t>
            </w:r>
            <w:r w:rsidRPr="006B094C">
              <w:rPr>
                <w:rFonts w:cs="Arial"/>
                <w:sz w:val="18"/>
                <w:szCs w:val="18"/>
              </w:rPr>
              <w:t xml:space="preserve"> for comments on whole document</w:t>
            </w:r>
          </w:p>
        </w:tc>
        <w:tc>
          <w:tcPr>
            <w:tcW w:w="3375" w:type="pct"/>
            <w:shd w:val="clear" w:color="auto" w:fill="E6E6E6"/>
          </w:tcPr>
          <w:p w14:paraId="41533CDF" w14:textId="77777777" w:rsidR="000574FE" w:rsidRPr="006B094C" w:rsidRDefault="000574FE" w:rsidP="00BC7076">
            <w:pPr>
              <w:pStyle w:val="Heading1"/>
              <w:rPr>
                <w:rFonts w:cs="Arial"/>
                <w:szCs w:val="22"/>
              </w:rPr>
            </w:pPr>
            <w:r w:rsidRPr="006B094C">
              <w:rPr>
                <w:rFonts w:cs="Arial"/>
                <w:szCs w:val="22"/>
              </w:rPr>
              <w:t>Comments</w:t>
            </w:r>
          </w:p>
          <w:p w14:paraId="31530277" w14:textId="77777777" w:rsidR="000574FE" w:rsidRPr="006B094C" w:rsidRDefault="000574FE" w:rsidP="000574FE">
            <w:pPr>
              <w:pStyle w:val="ListParagraph"/>
              <w:numPr>
                <w:ilvl w:val="0"/>
                <w:numId w:val="12"/>
              </w:numPr>
              <w:rPr>
                <w:rFonts w:cs="Arial"/>
                <w:sz w:val="18"/>
                <w:szCs w:val="18"/>
              </w:rPr>
            </w:pPr>
            <w:r w:rsidRPr="006B094C">
              <w:rPr>
                <w:rFonts w:cs="Arial"/>
                <w:sz w:val="18"/>
                <w:szCs w:val="18"/>
              </w:rPr>
              <w:t>Insert each comment in a new row.</w:t>
            </w:r>
          </w:p>
          <w:p w14:paraId="589265B2" w14:textId="77777777" w:rsidR="000574FE" w:rsidRPr="006B094C" w:rsidRDefault="000574FE" w:rsidP="000574FE">
            <w:pPr>
              <w:pStyle w:val="ListParagraph"/>
              <w:numPr>
                <w:ilvl w:val="0"/>
                <w:numId w:val="12"/>
              </w:numPr>
              <w:rPr>
                <w:rFonts w:cs="Arial"/>
                <w:sz w:val="18"/>
                <w:szCs w:val="18"/>
              </w:rPr>
            </w:pPr>
            <w:r w:rsidRPr="006B094C">
              <w:rPr>
                <w:rFonts w:cs="Arial"/>
                <w:sz w:val="18"/>
                <w:szCs w:val="18"/>
              </w:rPr>
              <w:t>Do not paste other tables into this table, because your comments could get lost – type directly into this table.</w:t>
            </w:r>
          </w:p>
          <w:p w14:paraId="03544F09" w14:textId="77777777" w:rsidR="000574FE" w:rsidRPr="006B094C" w:rsidRDefault="000574FE" w:rsidP="000574FE">
            <w:pPr>
              <w:pStyle w:val="ListParagraph"/>
              <w:numPr>
                <w:ilvl w:val="0"/>
                <w:numId w:val="12"/>
              </w:numPr>
              <w:rPr>
                <w:rFonts w:cs="Arial"/>
                <w:sz w:val="18"/>
                <w:szCs w:val="18"/>
              </w:rPr>
            </w:pPr>
            <w:r w:rsidRPr="006B094C">
              <w:rPr>
                <w:rFonts w:cs="Arial"/>
                <w:sz w:val="18"/>
                <w:szCs w:val="18"/>
              </w:rPr>
              <w:t>Include section or recommendation number in this column.</w:t>
            </w:r>
          </w:p>
          <w:p w14:paraId="5468B8ED" w14:textId="77777777" w:rsidR="000574FE" w:rsidRPr="006B094C" w:rsidRDefault="000574FE" w:rsidP="00BC7076">
            <w:pPr>
              <w:jc w:val="center"/>
              <w:rPr>
                <w:rFonts w:cs="Arial"/>
                <w:b/>
                <w:szCs w:val="22"/>
              </w:rPr>
            </w:pPr>
          </w:p>
        </w:tc>
      </w:tr>
      <w:tr w:rsidR="000574FE" w:rsidRPr="006B094C" w14:paraId="34439D6D" w14:textId="77777777" w:rsidTr="00BC7076">
        <w:tc>
          <w:tcPr>
            <w:tcW w:w="442" w:type="pct"/>
          </w:tcPr>
          <w:p w14:paraId="091C8FCC" w14:textId="563C3CA0" w:rsidR="000574FE" w:rsidRPr="00CB4A41" w:rsidRDefault="00ED43FE" w:rsidP="00ED43FE">
            <w:pPr>
              <w:spacing w:after="240"/>
              <w:jc w:val="center"/>
              <w:rPr>
                <w:rFonts w:cs="Arial"/>
                <w:b/>
                <w:szCs w:val="22"/>
              </w:rPr>
            </w:pPr>
            <w:r w:rsidRPr="00CB4A41">
              <w:rPr>
                <w:rFonts w:cs="Arial"/>
                <w:b/>
                <w:szCs w:val="22"/>
              </w:rPr>
              <w:t>1</w:t>
            </w:r>
          </w:p>
        </w:tc>
        <w:tc>
          <w:tcPr>
            <w:tcW w:w="424" w:type="pct"/>
          </w:tcPr>
          <w:p w14:paraId="27C5282D" w14:textId="77777777" w:rsidR="000574FE" w:rsidRPr="00CB4A41" w:rsidRDefault="000574FE" w:rsidP="00ED43FE">
            <w:pPr>
              <w:spacing w:after="240"/>
              <w:rPr>
                <w:rFonts w:cs="Arial"/>
                <w:szCs w:val="22"/>
              </w:rPr>
            </w:pPr>
            <w:r w:rsidRPr="00CB4A41">
              <w:rPr>
                <w:rFonts w:cs="Arial"/>
              </w:rPr>
              <w:t>Guideline</w:t>
            </w:r>
          </w:p>
        </w:tc>
        <w:tc>
          <w:tcPr>
            <w:tcW w:w="367" w:type="pct"/>
          </w:tcPr>
          <w:p w14:paraId="51A3207C" w14:textId="77777777" w:rsidR="000574FE" w:rsidRPr="00CB4A41" w:rsidRDefault="000574FE" w:rsidP="00ED43FE">
            <w:pPr>
              <w:spacing w:after="240"/>
              <w:rPr>
                <w:rFonts w:cs="Arial"/>
                <w:szCs w:val="22"/>
              </w:rPr>
            </w:pPr>
            <w:r w:rsidRPr="00CB4A41">
              <w:rPr>
                <w:rFonts w:cs="Arial"/>
              </w:rPr>
              <w:t>General</w:t>
            </w:r>
          </w:p>
        </w:tc>
        <w:tc>
          <w:tcPr>
            <w:tcW w:w="392" w:type="pct"/>
          </w:tcPr>
          <w:p w14:paraId="7A222297" w14:textId="77777777" w:rsidR="000574FE" w:rsidRPr="00CB4A41" w:rsidRDefault="000574FE" w:rsidP="00ED43FE">
            <w:pPr>
              <w:spacing w:after="240"/>
              <w:rPr>
                <w:rFonts w:cs="Arial"/>
                <w:szCs w:val="22"/>
              </w:rPr>
            </w:pPr>
            <w:r w:rsidRPr="00CB4A41">
              <w:rPr>
                <w:rFonts w:cs="Arial"/>
              </w:rPr>
              <w:t>General</w:t>
            </w:r>
          </w:p>
        </w:tc>
        <w:tc>
          <w:tcPr>
            <w:tcW w:w="3375" w:type="pct"/>
          </w:tcPr>
          <w:p w14:paraId="0A95EA21" w14:textId="431D8538" w:rsidR="000574FE" w:rsidRPr="006B094C" w:rsidRDefault="00951832" w:rsidP="00737686">
            <w:pPr>
              <w:spacing w:after="240" w:line="276" w:lineRule="auto"/>
              <w:rPr>
                <w:rFonts w:cs="Arial"/>
                <w:color w:val="FF0000"/>
                <w:szCs w:val="22"/>
              </w:rPr>
            </w:pPr>
            <w:r>
              <w:t>C</w:t>
            </w:r>
            <w:r w:rsidR="000574FE">
              <w:t>reative</w:t>
            </w:r>
            <w:r w:rsidR="00C27E2D">
              <w:t>,</w:t>
            </w:r>
            <w:r w:rsidR="000574FE">
              <w:t xml:space="preserve"> cultural </w:t>
            </w:r>
            <w:r w:rsidR="00737686">
              <w:t xml:space="preserve">and nature-based </w:t>
            </w:r>
            <w:r w:rsidR="000574FE">
              <w:t>approaches to addressing depression are not acknowledged anywhere in these draft guidelines (based on a keyword search: art, music, creative, cultural</w:t>
            </w:r>
            <w:r w:rsidR="00737686">
              <w:t>, nature</w:t>
            </w:r>
            <w:r w:rsidR="000574FE">
              <w:t>). While the evidence of the effectiveness for those</w:t>
            </w:r>
            <w:r w:rsidR="00966F93">
              <w:t xml:space="preserve"> forms of</w:t>
            </w:r>
            <w:r w:rsidR="000574FE">
              <w:t xml:space="preserve"> </w:t>
            </w:r>
            <w:r w:rsidR="00737686">
              <w:t>intervention</w:t>
            </w:r>
            <w:r w:rsidR="00966F93">
              <w:t xml:space="preserve"> </w:t>
            </w:r>
            <w:r w:rsidR="000574FE">
              <w:t>is diverse and less clinical / RCT-centric, this seems a needless oversight given that such approaches can correspond, enhance or be adapted to align with some of the main treatment options in these guidelines</w:t>
            </w:r>
            <w:r w:rsidR="00737686">
              <w:t>, and can provide support for patients experiencing significant waiting times for referrals and treatments</w:t>
            </w:r>
            <w:r w:rsidR="000574FE">
              <w:t>.</w:t>
            </w:r>
          </w:p>
        </w:tc>
      </w:tr>
      <w:tr w:rsidR="000574FE" w:rsidRPr="006B094C" w14:paraId="26757E2C" w14:textId="77777777" w:rsidTr="00BC7076">
        <w:tc>
          <w:tcPr>
            <w:tcW w:w="442" w:type="pct"/>
          </w:tcPr>
          <w:p w14:paraId="20FB233C" w14:textId="5FEEBAB6" w:rsidR="000574FE" w:rsidRPr="00ED43FE" w:rsidRDefault="00ED43FE" w:rsidP="00ED43FE">
            <w:pPr>
              <w:spacing w:after="240"/>
              <w:jc w:val="center"/>
              <w:rPr>
                <w:rFonts w:cs="Arial"/>
                <w:b/>
                <w:szCs w:val="22"/>
              </w:rPr>
            </w:pPr>
            <w:r w:rsidRPr="00ED43FE">
              <w:rPr>
                <w:rFonts w:cs="Arial"/>
                <w:b/>
                <w:szCs w:val="22"/>
              </w:rPr>
              <w:t>2</w:t>
            </w:r>
          </w:p>
        </w:tc>
        <w:tc>
          <w:tcPr>
            <w:tcW w:w="424" w:type="pct"/>
          </w:tcPr>
          <w:p w14:paraId="5D8376F5" w14:textId="77777777" w:rsidR="000574FE" w:rsidRPr="00AF0D80" w:rsidRDefault="000574FE" w:rsidP="00ED43FE">
            <w:pPr>
              <w:spacing w:after="240"/>
              <w:rPr>
                <w:rFonts w:cs="Arial"/>
                <w:szCs w:val="22"/>
              </w:rPr>
            </w:pPr>
            <w:r w:rsidRPr="00AF0D80">
              <w:rPr>
                <w:rFonts w:cs="Arial"/>
              </w:rPr>
              <w:t>Guideline</w:t>
            </w:r>
          </w:p>
        </w:tc>
        <w:tc>
          <w:tcPr>
            <w:tcW w:w="367" w:type="pct"/>
          </w:tcPr>
          <w:p w14:paraId="17777DC2" w14:textId="0C8DF5DA" w:rsidR="000574FE" w:rsidRPr="00AF0D80" w:rsidRDefault="00ED43FE" w:rsidP="00ED43FE">
            <w:pPr>
              <w:spacing w:after="240"/>
              <w:rPr>
                <w:rFonts w:cs="Arial"/>
                <w:szCs w:val="22"/>
              </w:rPr>
            </w:pPr>
            <w:r w:rsidRPr="00AF0D80">
              <w:rPr>
                <w:rFonts w:cs="Arial"/>
              </w:rPr>
              <w:t>11</w:t>
            </w:r>
          </w:p>
        </w:tc>
        <w:tc>
          <w:tcPr>
            <w:tcW w:w="392" w:type="pct"/>
          </w:tcPr>
          <w:p w14:paraId="5E202C67" w14:textId="2E0E1713" w:rsidR="000574FE" w:rsidRPr="00AF0D80" w:rsidRDefault="00ED43FE" w:rsidP="00ED43FE">
            <w:pPr>
              <w:spacing w:after="240"/>
              <w:rPr>
                <w:rFonts w:cs="Arial"/>
                <w:szCs w:val="22"/>
              </w:rPr>
            </w:pPr>
            <w:r w:rsidRPr="00AF0D80">
              <w:rPr>
                <w:rFonts w:cs="Arial"/>
              </w:rPr>
              <w:t>9</w:t>
            </w:r>
          </w:p>
        </w:tc>
        <w:tc>
          <w:tcPr>
            <w:tcW w:w="3375" w:type="pct"/>
          </w:tcPr>
          <w:p w14:paraId="505111F4" w14:textId="485A7656" w:rsidR="00FD5F16" w:rsidRDefault="00ED43FE" w:rsidP="00ED43FE">
            <w:pPr>
              <w:spacing w:after="240" w:line="276" w:lineRule="auto"/>
            </w:pPr>
            <w:r>
              <w:t>I</w:t>
            </w:r>
            <w:r w:rsidR="000574FE">
              <w:t>nclude a</w:t>
            </w:r>
            <w:r w:rsidR="009B7192">
              <w:t>n extra</w:t>
            </w:r>
            <w:r w:rsidR="000574FE">
              <w:t xml:space="preserve"> bullet </w:t>
            </w:r>
            <w:r w:rsidR="00BC135B">
              <w:t>to the effect</w:t>
            </w:r>
            <w:r w:rsidR="000574FE">
              <w:t xml:space="preserve">: </w:t>
            </w:r>
            <w:r>
              <w:t>“</w:t>
            </w:r>
            <w:r w:rsidR="000574FE">
              <w:t>and an acknowledgment of the variety of community resources, such as arts, cultural, heritage and nature-b</w:t>
            </w:r>
            <w:r>
              <w:t>ased activities</w:t>
            </w:r>
            <w:r w:rsidR="00881A38">
              <w:t>,</w:t>
            </w:r>
            <w:r w:rsidR="000574FE">
              <w:t xml:space="preserve"> that fall out</w:t>
            </w:r>
            <w:r>
              <w:t>side of</w:t>
            </w:r>
            <w:r w:rsidR="000574FE">
              <w:t xml:space="preserve"> these guidelines, which </w:t>
            </w:r>
            <w:r>
              <w:t>may enhance the recommended</w:t>
            </w:r>
            <w:r w:rsidR="000574FE">
              <w:t xml:space="preserve"> approaches. The </w:t>
            </w:r>
            <w:r w:rsidR="000574FE" w:rsidRPr="00232063">
              <w:rPr>
                <w:b/>
                <w:bCs/>
              </w:rPr>
              <w:t xml:space="preserve">patient </w:t>
            </w:r>
            <w:r w:rsidR="00232063" w:rsidRPr="00232063">
              <w:rPr>
                <w:b/>
                <w:bCs/>
              </w:rPr>
              <w:t>experience</w:t>
            </w:r>
            <w:r w:rsidR="00232063">
              <w:t xml:space="preserve"> </w:t>
            </w:r>
            <w:r w:rsidR="000574FE">
              <w:t>should not be limited to their therapeutic experience but should include the wider context for that experience.</w:t>
            </w:r>
            <w:r w:rsidR="00AE6CAF">
              <w:t xml:space="preserve"> </w:t>
            </w:r>
            <w:r w:rsidR="00AB656D">
              <w:t>Highly cited</w:t>
            </w:r>
            <w:r w:rsidR="00FD5F16">
              <w:t xml:space="preserve"> reports</w:t>
            </w:r>
            <w:r w:rsidR="00A221E7">
              <w:t xml:space="preserve"> </w:t>
            </w:r>
            <w:r w:rsidR="00FD5F16">
              <w:t>that draw together the extensive evidence on these factors</w:t>
            </w:r>
            <w:r w:rsidR="00AE6CAF">
              <w:t xml:space="preserve"> include</w:t>
            </w:r>
            <w:r w:rsidR="00FD5F16">
              <w:t>:</w:t>
            </w:r>
          </w:p>
          <w:p w14:paraId="5067882E" w14:textId="77777777" w:rsidR="0020656B" w:rsidRDefault="00FD5F16" w:rsidP="0020656B">
            <w:r w:rsidRPr="00AE6CAF">
              <w:rPr>
                <w:b/>
                <w:bCs/>
              </w:rPr>
              <w:t>For arts and culture</w:t>
            </w:r>
            <w:r w:rsidR="00AB656D" w:rsidRPr="00AE6CAF">
              <w:rPr>
                <w:b/>
                <w:bCs/>
              </w:rPr>
              <w:t>-based interventions</w:t>
            </w:r>
            <w:r>
              <w:t>:</w:t>
            </w:r>
          </w:p>
          <w:p w14:paraId="42D88B47" w14:textId="77777777" w:rsidR="0020656B" w:rsidRDefault="0020656B" w:rsidP="0020656B"/>
          <w:p w14:paraId="4813BCF0" w14:textId="3B22867B" w:rsidR="00FD5F16" w:rsidRPr="0020656B" w:rsidRDefault="008E1EAB" w:rsidP="0020656B">
            <w:pPr>
              <w:rPr>
                <w:rStyle w:val="Hyperlink"/>
                <w:color w:val="auto"/>
                <w:u w:val="none"/>
              </w:rPr>
            </w:pPr>
            <w:r>
              <w:t>All</w:t>
            </w:r>
            <w:r w:rsidR="00977A94">
              <w:t>-Party Parliamentary Group on Arts, Health and Wellbeing, 20</w:t>
            </w:r>
            <w:r w:rsidR="0081336E">
              <w:t xml:space="preserve">17. </w:t>
            </w:r>
            <w:r w:rsidR="0081336E">
              <w:rPr>
                <w:i/>
                <w:iCs/>
              </w:rPr>
              <w:t>Creative Health: The Arts for Health and Wellbeing</w:t>
            </w:r>
            <w:r w:rsidR="0081336E">
              <w:t>.</w:t>
            </w:r>
            <w:r w:rsidR="008D6236">
              <w:t xml:space="preserve"> Online: </w:t>
            </w:r>
            <w:hyperlink r:id="rId11" w:history="1">
              <w:r w:rsidR="0020656B" w:rsidRPr="008C74D1">
                <w:rPr>
                  <w:rStyle w:val="Hyperlink"/>
                </w:rPr>
                <w:t>https://ncch.org.uk/uploads/Creative_Health_Inquiry_Report_2017_-_Second_Edition.pdf</w:t>
              </w:r>
            </w:hyperlink>
            <w:r w:rsidR="0020656B">
              <w:t xml:space="preserve"> </w:t>
            </w:r>
          </w:p>
          <w:p w14:paraId="00B70F51" w14:textId="77777777" w:rsidR="0020656B" w:rsidRDefault="0020656B" w:rsidP="0020656B"/>
          <w:p w14:paraId="6A3C097C" w14:textId="7CDA8BA0" w:rsidR="0020656B" w:rsidRPr="00A5277D" w:rsidRDefault="0020656B" w:rsidP="0020656B">
            <w:pPr>
              <w:rPr>
                <w:rFonts w:ascii="Calibri" w:hAnsi="Calibri" w:cs="Calibri"/>
                <w:szCs w:val="22"/>
                <w:lang w:val="de-DE" w:eastAsia="en-GB"/>
              </w:rPr>
            </w:pPr>
            <w:r>
              <w:t xml:space="preserve">WHO Scoping Review, 2019: </w:t>
            </w:r>
            <w:r w:rsidRPr="0020656B">
              <w:rPr>
                <w:i/>
                <w:iCs/>
              </w:rPr>
              <w:t>What is the evidence on the role of the arts in improving health and well-</w:t>
            </w:r>
            <w:proofErr w:type="gramStart"/>
            <w:r w:rsidRPr="0020656B">
              <w:rPr>
                <w:i/>
                <w:iCs/>
              </w:rPr>
              <w:t>being?</w:t>
            </w:r>
            <w:r>
              <w:t>.</w:t>
            </w:r>
            <w:proofErr w:type="gramEnd"/>
            <w:r>
              <w:t xml:space="preserve"> </w:t>
            </w:r>
            <w:r w:rsidRPr="00A5277D">
              <w:rPr>
                <w:lang w:val="de-DE"/>
              </w:rPr>
              <w:t>Online:</w:t>
            </w:r>
            <w:r w:rsidRPr="00A5277D">
              <w:rPr>
                <w:rFonts w:cs="Arial"/>
                <w:lang w:val="de-DE"/>
              </w:rPr>
              <w:t xml:space="preserve"> </w:t>
            </w:r>
            <w:hyperlink r:id="rId12" w:history="1">
              <w:r w:rsidRPr="00A5277D">
                <w:rPr>
                  <w:rStyle w:val="Hyperlink"/>
                  <w:rFonts w:cs="Arial"/>
                  <w:szCs w:val="22"/>
                  <w:lang w:val="de-DE"/>
                </w:rPr>
                <w:t>https://www.euro.who.int/en/publications/abstracts/what-is-the-evidence-on-the-role-of-the-arts-in-improving-health-and-well-being-a-scoping-review-2019</w:t>
              </w:r>
            </w:hyperlink>
          </w:p>
          <w:p w14:paraId="0BE91C06" w14:textId="77777777" w:rsidR="0020656B" w:rsidRPr="00A5277D" w:rsidRDefault="0020656B" w:rsidP="0020656B">
            <w:pPr>
              <w:rPr>
                <w:b/>
                <w:bCs/>
                <w:lang w:val="de-DE"/>
              </w:rPr>
            </w:pPr>
          </w:p>
          <w:p w14:paraId="5BF95955" w14:textId="09D35824" w:rsidR="00A221E7" w:rsidRDefault="00D87837" w:rsidP="0020656B">
            <w:r w:rsidRPr="00AE6CAF">
              <w:rPr>
                <w:b/>
                <w:bCs/>
              </w:rPr>
              <w:t>F</w:t>
            </w:r>
            <w:r w:rsidR="00FD5F16" w:rsidRPr="00AE6CAF">
              <w:rPr>
                <w:b/>
                <w:bCs/>
              </w:rPr>
              <w:t xml:space="preserve">or </w:t>
            </w:r>
            <w:r w:rsidR="00AB656D" w:rsidRPr="00AE6CAF">
              <w:rPr>
                <w:b/>
                <w:bCs/>
              </w:rPr>
              <w:t>nature-based interventions</w:t>
            </w:r>
            <w:r w:rsidR="00AB656D">
              <w:t>:</w:t>
            </w:r>
          </w:p>
          <w:p w14:paraId="13545CB6" w14:textId="357EC932" w:rsidR="00D35A5E" w:rsidRPr="0094551D" w:rsidRDefault="008E0DF1" w:rsidP="00ED43FE">
            <w:pPr>
              <w:spacing w:after="240" w:line="276" w:lineRule="auto"/>
            </w:pPr>
            <w:r w:rsidRPr="008E0DF1">
              <w:lastRenderedPageBreak/>
              <w:t xml:space="preserve">Bragg, R. and Atkins, G., 2016. </w:t>
            </w:r>
            <w:r w:rsidRPr="0081336E">
              <w:rPr>
                <w:i/>
                <w:iCs/>
              </w:rPr>
              <w:t>A review of nature-based interventions for mental health care</w:t>
            </w:r>
            <w:r w:rsidRPr="0081336E">
              <w:t xml:space="preserve">. </w:t>
            </w:r>
            <w:r w:rsidR="00AE6CAF">
              <w:t xml:space="preserve">Online: </w:t>
            </w:r>
            <w:hyperlink r:id="rId13" w:history="1">
              <w:r w:rsidR="00AE6CAF" w:rsidRPr="00713489">
                <w:rPr>
                  <w:rStyle w:val="Hyperlink"/>
                </w:rPr>
                <w:t>http://publications.naturalengland.org.uk/publication/4513819616346112?category=127020</w:t>
              </w:r>
            </w:hyperlink>
          </w:p>
        </w:tc>
      </w:tr>
      <w:tr w:rsidR="00ED43FE" w:rsidRPr="006B094C" w14:paraId="79032A7C" w14:textId="77777777" w:rsidTr="00BC7076">
        <w:tc>
          <w:tcPr>
            <w:tcW w:w="442" w:type="pct"/>
          </w:tcPr>
          <w:p w14:paraId="04761F7A" w14:textId="647DCA3B" w:rsidR="000574FE" w:rsidRPr="00ED43FE" w:rsidRDefault="00ED43FE" w:rsidP="00ED43FE">
            <w:pPr>
              <w:spacing w:after="240"/>
              <w:jc w:val="center"/>
              <w:rPr>
                <w:rFonts w:cs="Arial"/>
                <w:b/>
                <w:szCs w:val="22"/>
              </w:rPr>
            </w:pPr>
            <w:r w:rsidRPr="00ED43FE">
              <w:rPr>
                <w:rFonts w:cs="Arial"/>
                <w:b/>
                <w:szCs w:val="22"/>
              </w:rPr>
              <w:lastRenderedPageBreak/>
              <w:t>3</w:t>
            </w:r>
          </w:p>
        </w:tc>
        <w:tc>
          <w:tcPr>
            <w:tcW w:w="424" w:type="pct"/>
          </w:tcPr>
          <w:p w14:paraId="42A2355B" w14:textId="77777777" w:rsidR="000574FE" w:rsidRPr="00ED43FE" w:rsidRDefault="000574FE" w:rsidP="00ED43FE">
            <w:pPr>
              <w:spacing w:after="240"/>
              <w:rPr>
                <w:rFonts w:cs="Arial"/>
                <w:szCs w:val="22"/>
              </w:rPr>
            </w:pPr>
            <w:r w:rsidRPr="00ED43FE">
              <w:rPr>
                <w:rFonts w:cs="Arial"/>
              </w:rPr>
              <w:t>Guideline</w:t>
            </w:r>
          </w:p>
        </w:tc>
        <w:tc>
          <w:tcPr>
            <w:tcW w:w="367" w:type="pct"/>
          </w:tcPr>
          <w:p w14:paraId="7F2058D2" w14:textId="6DEF3D90" w:rsidR="000574FE" w:rsidRPr="003806FB" w:rsidRDefault="000574FE" w:rsidP="00ED43FE">
            <w:pPr>
              <w:spacing w:after="240"/>
              <w:rPr>
                <w:rFonts w:cs="Arial"/>
              </w:rPr>
            </w:pPr>
            <w:r>
              <w:rPr>
                <w:rFonts w:cs="Arial"/>
              </w:rPr>
              <w:t>26</w:t>
            </w:r>
            <w:r w:rsidR="003806FB">
              <w:rPr>
                <w:rFonts w:cs="Arial"/>
              </w:rPr>
              <w:t>, 27, 36</w:t>
            </w:r>
          </w:p>
        </w:tc>
        <w:tc>
          <w:tcPr>
            <w:tcW w:w="392" w:type="pct"/>
          </w:tcPr>
          <w:p w14:paraId="16FC5C0A" w14:textId="24808C84" w:rsidR="000574FE" w:rsidRPr="006B094C" w:rsidRDefault="000574FE" w:rsidP="00ED43FE">
            <w:pPr>
              <w:spacing w:after="240"/>
              <w:rPr>
                <w:rFonts w:cs="Arial"/>
                <w:szCs w:val="22"/>
              </w:rPr>
            </w:pPr>
            <w:r>
              <w:rPr>
                <w:rFonts w:cs="Arial"/>
              </w:rPr>
              <w:t>[no line numbers</w:t>
            </w:r>
            <w:r w:rsidR="00ED43FE">
              <w:rPr>
                <w:rFonts w:cs="Arial"/>
              </w:rPr>
              <w:t>]</w:t>
            </w:r>
          </w:p>
        </w:tc>
        <w:tc>
          <w:tcPr>
            <w:tcW w:w="3375" w:type="pct"/>
          </w:tcPr>
          <w:p w14:paraId="6A63A6E6" w14:textId="10D31C67" w:rsidR="000574FE" w:rsidRDefault="000574FE" w:rsidP="00ED43FE">
            <w:pPr>
              <w:spacing w:after="240" w:line="276" w:lineRule="auto"/>
            </w:pPr>
            <w:r w:rsidRPr="00FB332D">
              <w:rPr>
                <w:b/>
              </w:rPr>
              <w:t>G</w:t>
            </w:r>
            <w:r w:rsidR="0012068D">
              <w:rPr>
                <w:b/>
              </w:rPr>
              <w:t xml:space="preserve">roup </w:t>
            </w:r>
            <w:r w:rsidRPr="00FB332D">
              <w:rPr>
                <w:b/>
              </w:rPr>
              <w:t>exercise</w:t>
            </w:r>
            <w:r w:rsidR="005034AB">
              <w:rPr>
                <w:b/>
              </w:rPr>
              <w:t xml:space="preserve"> and </w:t>
            </w:r>
            <w:r w:rsidR="00B84944">
              <w:rPr>
                <w:b/>
              </w:rPr>
              <w:t xml:space="preserve">group </w:t>
            </w:r>
            <w:r w:rsidR="005034AB">
              <w:rPr>
                <w:b/>
              </w:rPr>
              <w:t>mindfulness</w:t>
            </w:r>
            <w:r w:rsidRPr="00FB332D">
              <w:rPr>
                <w:b/>
              </w:rPr>
              <w:t xml:space="preserve"> – peer support</w:t>
            </w:r>
            <w:r>
              <w:t>. T</w:t>
            </w:r>
            <w:r w:rsidR="00286EB2">
              <w:t>he ‘other things to consider</w:t>
            </w:r>
            <w:r w:rsidR="00A02BDD">
              <w:t>’ column on th</w:t>
            </w:r>
            <w:r w:rsidR="00206DFA">
              <w:t>ese</w:t>
            </w:r>
            <w:r w:rsidR="00A02BDD">
              <w:t xml:space="preserve"> </w:t>
            </w:r>
            <w:r w:rsidR="00464EDC">
              <w:t xml:space="preserve">three </w:t>
            </w:r>
            <w:r w:rsidR="00A02BDD">
              <w:t>page</w:t>
            </w:r>
            <w:r w:rsidR="00206DFA">
              <w:t>s</w:t>
            </w:r>
            <w:r w:rsidR="00A02BDD">
              <w:t xml:space="preserve"> </w:t>
            </w:r>
            <w:r w:rsidR="00464EDC">
              <w:t>says</w:t>
            </w:r>
            <w:r>
              <w:t xml:space="preserve">, </w:t>
            </w:r>
            <w:proofErr w:type="gramStart"/>
            <w:r w:rsidRPr="007C5E56">
              <w:rPr>
                <w:i/>
              </w:rPr>
              <w:t>May</w:t>
            </w:r>
            <w:proofErr w:type="gramEnd"/>
            <w:r w:rsidRPr="007C5E56">
              <w:rPr>
                <w:i/>
              </w:rPr>
              <w:t xml:space="preserve"> allow peer support from others</w:t>
            </w:r>
            <w:r>
              <w:t>… Acknowledging the ‘group’ e</w:t>
            </w:r>
            <w:r w:rsidR="0071621A">
              <w:t>ffect</w:t>
            </w:r>
            <w:r>
              <w:t xml:space="preserve"> on</w:t>
            </w:r>
            <w:r w:rsidR="0071621A">
              <w:t xml:space="preserve"> an activity’s</w:t>
            </w:r>
            <w:r>
              <w:t xml:space="preserve"> outcomes is important. There are other physical group activities, most notably expressive dance</w:t>
            </w:r>
            <w:r w:rsidR="00737686">
              <w:t xml:space="preserve">, </w:t>
            </w:r>
            <w:r>
              <w:t xml:space="preserve">participatory music </w:t>
            </w:r>
            <w:r w:rsidR="00737686">
              <w:t>and nature-based approaches</w:t>
            </w:r>
            <w:r w:rsidR="00BB6E7D">
              <w:t>,</w:t>
            </w:r>
            <w:r w:rsidR="00737686">
              <w:t xml:space="preserve"> </w:t>
            </w:r>
            <w:r>
              <w:t xml:space="preserve">that can fulfil </w:t>
            </w:r>
            <w:r w:rsidR="00451951">
              <w:t>mindfulness and</w:t>
            </w:r>
            <w:r>
              <w:t xml:space="preserve"> physical exercise element</w:t>
            </w:r>
            <w:r w:rsidR="00451951">
              <w:t>s</w:t>
            </w:r>
            <w:r>
              <w:t xml:space="preserve"> and </w:t>
            </w:r>
            <w:r w:rsidR="00C53853">
              <w:t xml:space="preserve">also </w:t>
            </w:r>
            <w:r>
              <w:t>yield benefits from peer support.</w:t>
            </w:r>
          </w:p>
          <w:p w14:paraId="0C06B966" w14:textId="3B13671D" w:rsidR="000574FE" w:rsidRPr="00E708FB" w:rsidRDefault="000574FE" w:rsidP="00ED43FE">
            <w:pPr>
              <w:spacing w:after="240" w:line="276" w:lineRule="auto"/>
              <w:rPr>
                <w:rFonts w:cstheme="minorBidi"/>
                <w:szCs w:val="22"/>
              </w:rPr>
            </w:pPr>
            <w:r>
              <w:t>We suggest</w:t>
            </w:r>
            <w:r w:rsidR="003E046A">
              <w:t xml:space="preserve"> that</w:t>
            </w:r>
            <w:r>
              <w:t xml:space="preserve"> </w:t>
            </w:r>
            <w:r w:rsidR="00BB6E7D">
              <w:t>these</w:t>
            </w:r>
            <w:r>
              <w:t xml:space="preserve"> recommendation</w:t>
            </w:r>
            <w:r w:rsidR="00BB6E7D">
              <w:t>s</w:t>
            </w:r>
            <w:r>
              <w:t xml:space="preserve"> / option</w:t>
            </w:r>
            <w:r w:rsidR="00BB6E7D">
              <w:t>s</w:t>
            </w:r>
            <w:r>
              <w:t xml:space="preserve"> </w:t>
            </w:r>
            <w:r w:rsidR="003E046A">
              <w:t xml:space="preserve">can </w:t>
            </w:r>
            <w:r w:rsidR="00EB6041">
              <w:t>encompass</w:t>
            </w:r>
            <w:r>
              <w:t xml:space="preserve"> other suitable group activities such as those mentioned.</w:t>
            </w:r>
          </w:p>
        </w:tc>
      </w:tr>
      <w:tr w:rsidR="00ED43FE" w:rsidRPr="006B094C" w14:paraId="79034A1B" w14:textId="77777777" w:rsidTr="00BC7076">
        <w:tc>
          <w:tcPr>
            <w:tcW w:w="442" w:type="pct"/>
          </w:tcPr>
          <w:p w14:paraId="0981CC3D" w14:textId="21C8798D" w:rsidR="000574FE" w:rsidRPr="00ED43FE" w:rsidRDefault="00ED43FE" w:rsidP="00ED43FE">
            <w:pPr>
              <w:spacing w:after="240"/>
              <w:jc w:val="center"/>
              <w:rPr>
                <w:rFonts w:cs="Arial"/>
                <w:b/>
                <w:szCs w:val="22"/>
              </w:rPr>
            </w:pPr>
            <w:r w:rsidRPr="00ED43FE">
              <w:rPr>
                <w:rFonts w:cs="Arial"/>
                <w:b/>
                <w:szCs w:val="22"/>
              </w:rPr>
              <w:t>4</w:t>
            </w:r>
          </w:p>
        </w:tc>
        <w:tc>
          <w:tcPr>
            <w:tcW w:w="424" w:type="pct"/>
          </w:tcPr>
          <w:p w14:paraId="5384F6EF" w14:textId="77777777" w:rsidR="000574FE" w:rsidRPr="0080311A" w:rsidRDefault="000574FE" w:rsidP="00ED43FE">
            <w:pPr>
              <w:spacing w:after="240"/>
              <w:rPr>
                <w:rFonts w:cs="Arial"/>
                <w:szCs w:val="22"/>
              </w:rPr>
            </w:pPr>
            <w:r w:rsidRPr="0080311A">
              <w:rPr>
                <w:rFonts w:cs="Arial"/>
              </w:rPr>
              <w:t>Guideline</w:t>
            </w:r>
          </w:p>
        </w:tc>
        <w:tc>
          <w:tcPr>
            <w:tcW w:w="367" w:type="pct"/>
          </w:tcPr>
          <w:p w14:paraId="2F020033" w14:textId="552EEC9D" w:rsidR="000574FE" w:rsidRPr="0080311A" w:rsidRDefault="0080311A" w:rsidP="00ED43FE">
            <w:pPr>
              <w:spacing w:after="240"/>
              <w:rPr>
                <w:rFonts w:cs="Arial"/>
                <w:szCs w:val="22"/>
              </w:rPr>
            </w:pPr>
            <w:r w:rsidRPr="0080311A">
              <w:rPr>
                <w:rFonts w:cs="Arial"/>
              </w:rPr>
              <w:t>42</w:t>
            </w:r>
          </w:p>
        </w:tc>
        <w:tc>
          <w:tcPr>
            <w:tcW w:w="392" w:type="pct"/>
          </w:tcPr>
          <w:p w14:paraId="7ACE620A" w14:textId="129F9B75" w:rsidR="000574FE" w:rsidRPr="0080311A" w:rsidRDefault="0080311A" w:rsidP="00ED43FE">
            <w:pPr>
              <w:spacing w:after="240"/>
              <w:rPr>
                <w:rFonts w:cs="Arial"/>
                <w:szCs w:val="22"/>
              </w:rPr>
            </w:pPr>
            <w:r w:rsidRPr="0080311A">
              <w:rPr>
                <w:rFonts w:cs="Arial"/>
              </w:rPr>
              <w:t>20</w:t>
            </w:r>
          </w:p>
        </w:tc>
        <w:tc>
          <w:tcPr>
            <w:tcW w:w="3375" w:type="pct"/>
          </w:tcPr>
          <w:p w14:paraId="5A941EB4" w14:textId="6635CB54" w:rsidR="000574FE" w:rsidRDefault="000574FE" w:rsidP="00ED43FE">
            <w:pPr>
              <w:spacing w:after="240" w:line="276" w:lineRule="auto"/>
            </w:pPr>
            <w:r w:rsidRPr="00FB332D">
              <w:rPr>
                <w:b/>
              </w:rPr>
              <w:t>Group exercise – connotations</w:t>
            </w:r>
            <w:r>
              <w:t>.</w:t>
            </w:r>
            <w:r w:rsidR="00494C3B">
              <w:t xml:space="preserve"> </w:t>
            </w:r>
            <w:r>
              <w:t>‘</w:t>
            </w:r>
            <w:r w:rsidR="00494C3B">
              <w:t>E</w:t>
            </w:r>
            <w:r>
              <w:t>xercise’ can mean different things to different people (for some, there may be an implication of gyms and</w:t>
            </w:r>
            <w:r w:rsidR="00494C3B">
              <w:t>/or</w:t>
            </w:r>
            <w:r>
              <w:t xml:space="preserve"> school PE lessons, which m</w:t>
            </w:r>
            <w:r w:rsidR="00642D35">
              <w:t>ight trigger negative memories)</w:t>
            </w:r>
            <w:r>
              <w:t xml:space="preserve">. Given the overarching patient choice rhetoric, alternative </w:t>
            </w:r>
            <w:r w:rsidR="00445F9A">
              <w:t xml:space="preserve">group </w:t>
            </w:r>
            <w:r>
              <w:t xml:space="preserve">activities such as </w:t>
            </w:r>
            <w:r w:rsidR="00642D35">
              <w:t>music or dance</w:t>
            </w:r>
            <w:r w:rsidR="00445F9A">
              <w:t xml:space="preserve"> </w:t>
            </w:r>
            <w:r>
              <w:t>should be made more explicit as options.</w:t>
            </w:r>
          </w:p>
          <w:p w14:paraId="7F6AD001" w14:textId="41ECA950" w:rsidR="000574FE" w:rsidRPr="00642D35" w:rsidRDefault="000574FE" w:rsidP="00ED43FE">
            <w:pPr>
              <w:spacing w:after="240" w:line="276" w:lineRule="auto"/>
            </w:pPr>
            <w:r>
              <w:t>Dance in particular constitutes a popular form of aerobic exercise, is available in many community settings and includes a creative/cultural element.</w:t>
            </w:r>
            <w:r w:rsidR="00642D35">
              <w:t xml:space="preserve"> </w:t>
            </w:r>
            <w:r w:rsidR="00C779C0">
              <w:t xml:space="preserve">Many other creative interventions are inherently multisensory and include complex cognitive and physical tasks such as </w:t>
            </w:r>
            <w:r w:rsidR="00250684">
              <w:t>extensive</w:t>
            </w:r>
            <w:r w:rsidR="00C779C0">
              <w:t xml:space="preserve"> upper body movement, hand-eye coordination, </w:t>
            </w:r>
            <w:r w:rsidR="00250684">
              <w:t xml:space="preserve">and </w:t>
            </w:r>
            <w:r w:rsidR="00C779C0">
              <w:t>precision grip</w:t>
            </w:r>
            <w:r w:rsidR="00250684">
              <w:t>.</w:t>
            </w:r>
            <w:r w:rsidR="00C779C0">
              <w:t xml:space="preserve"> </w:t>
            </w:r>
            <w:r w:rsidR="00642D35">
              <w:t>For these reasons, w</w:t>
            </w:r>
            <w:r>
              <w:t>e sugg</w:t>
            </w:r>
            <w:r w:rsidR="00642D35">
              <w:t>est that the group exercise</w:t>
            </w:r>
            <w:r>
              <w:t xml:space="preserve"> option is broadened to include </w:t>
            </w:r>
            <w:r w:rsidR="00642D35">
              <w:t xml:space="preserve">other suitable </w:t>
            </w:r>
            <w:r w:rsidR="00642D35" w:rsidRPr="00642D35">
              <w:t>group activities</w:t>
            </w:r>
            <w:r w:rsidRPr="00642D35">
              <w:t>.</w:t>
            </w:r>
            <w:r w:rsidR="00C779C0">
              <w:t xml:space="preserve"> </w:t>
            </w:r>
          </w:p>
          <w:p w14:paraId="3FBAB6CA" w14:textId="2569DB1F" w:rsidR="000574FE" w:rsidRPr="006B094C" w:rsidRDefault="000574FE" w:rsidP="00ED43FE">
            <w:pPr>
              <w:spacing w:after="240" w:line="276" w:lineRule="auto"/>
              <w:rPr>
                <w:rFonts w:cs="Arial"/>
                <w:szCs w:val="22"/>
              </w:rPr>
            </w:pPr>
            <w:r w:rsidRPr="00642D35">
              <w:t xml:space="preserve">This suggestion does not challenge or preclude </w:t>
            </w:r>
            <w:r w:rsidR="00080048">
              <w:t>more traditional forms of</w:t>
            </w:r>
            <w:r w:rsidRPr="00642D35">
              <w:t xml:space="preserve"> physical exercise; it aims to signpost the diversity </w:t>
            </w:r>
            <w:r w:rsidR="00642D35" w:rsidRPr="00642D35">
              <w:t>of types of group exercise and</w:t>
            </w:r>
            <w:r w:rsidRPr="00642D35">
              <w:t xml:space="preserve"> the myriad potential benefits of involvement in group activities, which include peer support, cultural engag</w:t>
            </w:r>
            <w:r w:rsidR="00642D35" w:rsidRPr="00642D35">
              <w:t>ement and specific arts-</w:t>
            </w:r>
            <w:r w:rsidRPr="00642D35">
              <w:t>therapeutic aspects.</w:t>
            </w:r>
          </w:p>
        </w:tc>
      </w:tr>
      <w:tr w:rsidR="00ED43FE" w:rsidRPr="006B094C" w14:paraId="18B21C1F" w14:textId="77777777" w:rsidTr="00BC7076">
        <w:tc>
          <w:tcPr>
            <w:tcW w:w="442" w:type="pct"/>
          </w:tcPr>
          <w:p w14:paraId="0E3EEF23" w14:textId="22EBC8F4" w:rsidR="000574FE" w:rsidRPr="00ED43FE" w:rsidRDefault="00ED43FE" w:rsidP="00ED43FE">
            <w:pPr>
              <w:spacing w:after="240"/>
              <w:jc w:val="center"/>
              <w:rPr>
                <w:rFonts w:cs="Arial"/>
                <w:b/>
                <w:szCs w:val="22"/>
              </w:rPr>
            </w:pPr>
            <w:r w:rsidRPr="00ED43FE">
              <w:rPr>
                <w:rFonts w:cs="Arial"/>
                <w:b/>
                <w:szCs w:val="22"/>
              </w:rPr>
              <w:t>5</w:t>
            </w:r>
          </w:p>
        </w:tc>
        <w:tc>
          <w:tcPr>
            <w:tcW w:w="424" w:type="pct"/>
          </w:tcPr>
          <w:p w14:paraId="1F68D8F9" w14:textId="77777777" w:rsidR="000574FE" w:rsidRPr="00ED43FE" w:rsidRDefault="000574FE" w:rsidP="00ED43FE">
            <w:pPr>
              <w:spacing w:after="240"/>
              <w:rPr>
                <w:rFonts w:cs="Arial"/>
                <w:szCs w:val="22"/>
              </w:rPr>
            </w:pPr>
            <w:r w:rsidRPr="00ED43FE">
              <w:rPr>
                <w:rFonts w:cs="Arial"/>
              </w:rPr>
              <w:t>Guideline</w:t>
            </w:r>
          </w:p>
        </w:tc>
        <w:tc>
          <w:tcPr>
            <w:tcW w:w="367" w:type="pct"/>
          </w:tcPr>
          <w:p w14:paraId="14589855" w14:textId="18421FB1" w:rsidR="000574FE" w:rsidRPr="006B094C" w:rsidRDefault="000574FE" w:rsidP="00ED43FE">
            <w:pPr>
              <w:spacing w:after="240"/>
              <w:rPr>
                <w:rFonts w:cs="Arial"/>
                <w:szCs w:val="22"/>
              </w:rPr>
            </w:pPr>
            <w:r>
              <w:rPr>
                <w:rFonts w:cs="Arial"/>
              </w:rPr>
              <w:t>27</w:t>
            </w:r>
          </w:p>
        </w:tc>
        <w:tc>
          <w:tcPr>
            <w:tcW w:w="392" w:type="pct"/>
          </w:tcPr>
          <w:p w14:paraId="25D8C07C" w14:textId="4C2BA7BE" w:rsidR="000574FE" w:rsidRPr="006B094C" w:rsidRDefault="001B6778" w:rsidP="00ED43FE">
            <w:pPr>
              <w:spacing w:after="240"/>
              <w:rPr>
                <w:rFonts w:cs="Arial"/>
                <w:szCs w:val="22"/>
              </w:rPr>
            </w:pPr>
            <w:r>
              <w:rPr>
                <w:rFonts w:cs="Arial"/>
              </w:rPr>
              <w:t>[no line numbers]</w:t>
            </w:r>
          </w:p>
        </w:tc>
        <w:tc>
          <w:tcPr>
            <w:tcW w:w="3375" w:type="pct"/>
          </w:tcPr>
          <w:p w14:paraId="075D1317" w14:textId="618E2C99" w:rsidR="000574FE" w:rsidRPr="00E23FCB" w:rsidRDefault="000574FE" w:rsidP="00ED43FE">
            <w:pPr>
              <w:spacing w:after="240" w:line="276" w:lineRule="auto"/>
              <w:rPr>
                <w:rFonts w:cstheme="minorBidi"/>
                <w:szCs w:val="22"/>
              </w:rPr>
            </w:pPr>
            <w:r>
              <w:rPr>
                <w:b/>
              </w:rPr>
              <w:t>G</w:t>
            </w:r>
            <w:r w:rsidRPr="00F05A87">
              <w:rPr>
                <w:b/>
              </w:rPr>
              <w:t>roup mindfulness or meditation</w:t>
            </w:r>
            <w:r>
              <w:t xml:space="preserve">. Given that mindfulness and meditation can constitute a range of activities, including artistic activities (such as colouring in) and music (chanting), we would like to see a more precise definition of what mindfulness/meditation activities </w:t>
            </w:r>
            <w:r w:rsidR="00C173F2">
              <w:t>can include</w:t>
            </w:r>
            <w:r>
              <w:t xml:space="preserve">, or at least acknowledge the range of forms such activities might take. Again, this supports the core idea of patient choice, by </w:t>
            </w:r>
            <w:r>
              <w:lastRenderedPageBreak/>
              <w:t>offering sub-choices of specific activities within each broader choice as listed on the visual summary documents.</w:t>
            </w:r>
          </w:p>
        </w:tc>
      </w:tr>
      <w:tr w:rsidR="00ED43FE" w:rsidRPr="006B094C" w14:paraId="3AD5788E" w14:textId="77777777" w:rsidTr="00BC7076">
        <w:tc>
          <w:tcPr>
            <w:tcW w:w="442" w:type="pct"/>
          </w:tcPr>
          <w:p w14:paraId="03ED7EAC" w14:textId="4A88EAFE" w:rsidR="000574FE" w:rsidRPr="00ED43FE" w:rsidRDefault="00ED43FE" w:rsidP="00ED43FE">
            <w:pPr>
              <w:spacing w:after="240"/>
              <w:jc w:val="center"/>
              <w:rPr>
                <w:rFonts w:cs="Arial"/>
                <w:b/>
                <w:szCs w:val="22"/>
              </w:rPr>
            </w:pPr>
            <w:r w:rsidRPr="00ED43FE">
              <w:rPr>
                <w:rFonts w:cs="Arial"/>
                <w:b/>
                <w:szCs w:val="22"/>
              </w:rPr>
              <w:lastRenderedPageBreak/>
              <w:t>6</w:t>
            </w:r>
          </w:p>
        </w:tc>
        <w:tc>
          <w:tcPr>
            <w:tcW w:w="424" w:type="pct"/>
          </w:tcPr>
          <w:p w14:paraId="492142CF" w14:textId="77777777" w:rsidR="000574FE" w:rsidRPr="00ED43FE" w:rsidRDefault="000574FE" w:rsidP="00ED43FE">
            <w:pPr>
              <w:spacing w:after="240"/>
              <w:rPr>
                <w:rFonts w:cs="Arial"/>
                <w:szCs w:val="22"/>
              </w:rPr>
            </w:pPr>
            <w:r w:rsidRPr="00ED43FE">
              <w:rPr>
                <w:rFonts w:cs="Arial"/>
              </w:rPr>
              <w:t>Guideline</w:t>
            </w:r>
          </w:p>
        </w:tc>
        <w:tc>
          <w:tcPr>
            <w:tcW w:w="367" w:type="pct"/>
          </w:tcPr>
          <w:p w14:paraId="1C0CCD21" w14:textId="77777777" w:rsidR="000574FE" w:rsidRPr="006B094C" w:rsidRDefault="000574FE" w:rsidP="00ED43FE">
            <w:pPr>
              <w:spacing w:after="240"/>
              <w:rPr>
                <w:rFonts w:cs="Arial"/>
                <w:szCs w:val="22"/>
              </w:rPr>
            </w:pPr>
            <w:r>
              <w:rPr>
                <w:rFonts w:cs="Arial"/>
              </w:rPr>
              <w:t>General</w:t>
            </w:r>
          </w:p>
        </w:tc>
        <w:tc>
          <w:tcPr>
            <w:tcW w:w="392" w:type="pct"/>
          </w:tcPr>
          <w:p w14:paraId="32261ADE" w14:textId="5FA9B881" w:rsidR="000574FE" w:rsidRPr="006B094C" w:rsidRDefault="00ED43FE" w:rsidP="00ED43FE">
            <w:pPr>
              <w:spacing w:after="240"/>
              <w:rPr>
                <w:rFonts w:cs="Arial"/>
                <w:szCs w:val="22"/>
              </w:rPr>
            </w:pPr>
            <w:r>
              <w:rPr>
                <w:rFonts w:cs="Arial"/>
              </w:rPr>
              <w:t>G</w:t>
            </w:r>
            <w:r w:rsidR="000574FE">
              <w:rPr>
                <w:rFonts w:cs="Arial"/>
              </w:rPr>
              <w:t>eneral</w:t>
            </w:r>
          </w:p>
        </w:tc>
        <w:tc>
          <w:tcPr>
            <w:tcW w:w="3375" w:type="pct"/>
          </w:tcPr>
          <w:p w14:paraId="7AE1931B" w14:textId="4540235B" w:rsidR="000574FE" w:rsidRPr="006B094C" w:rsidRDefault="00642D35" w:rsidP="00ED43FE">
            <w:pPr>
              <w:spacing w:after="240" w:line="276" w:lineRule="auto"/>
              <w:rPr>
                <w:rFonts w:cs="Arial"/>
                <w:szCs w:val="22"/>
              </w:rPr>
            </w:pPr>
            <w:r w:rsidRPr="00642D35">
              <w:rPr>
                <w:b/>
              </w:rPr>
              <w:t>Economics</w:t>
            </w:r>
            <w:r>
              <w:t xml:space="preserve">. </w:t>
            </w:r>
            <w:r w:rsidR="000574FE">
              <w:t xml:space="preserve">The suggestions around group exercise and mindfulness potentially </w:t>
            </w:r>
            <w:r w:rsidR="00654B17">
              <w:t>encompassing</w:t>
            </w:r>
            <w:r w:rsidR="000574FE">
              <w:t xml:space="preserve"> </w:t>
            </w:r>
            <w:r w:rsidR="00654B17">
              <w:t>various</w:t>
            </w:r>
            <w:r w:rsidR="000574FE">
              <w:t xml:space="preserve"> creative and arts-based therapies</w:t>
            </w:r>
            <w:r w:rsidR="006349DE">
              <w:t>,</w:t>
            </w:r>
            <w:r w:rsidR="000574FE">
              <w:t xml:space="preserve"> and the accompanying p</w:t>
            </w:r>
            <w:r w:rsidR="006349DE">
              <w:t>eer support</w:t>
            </w:r>
            <w:r w:rsidR="000574FE">
              <w:t xml:space="preserve"> benefits</w:t>
            </w:r>
            <w:r w:rsidR="006349DE">
              <w:t>,</w:t>
            </w:r>
            <w:r w:rsidR="000574FE">
              <w:t xml:space="preserve"> are important. Broadening the range of choices may also have an economic benefit depending on the availability or proximity of such resources in the community.</w:t>
            </w:r>
          </w:p>
        </w:tc>
      </w:tr>
      <w:tr w:rsidR="00ED43FE" w:rsidRPr="006B094C" w14:paraId="360D461E" w14:textId="77777777" w:rsidTr="00BC7076">
        <w:tc>
          <w:tcPr>
            <w:tcW w:w="442" w:type="pct"/>
          </w:tcPr>
          <w:p w14:paraId="2A7EC245" w14:textId="01ABEE84" w:rsidR="000574FE" w:rsidRPr="00ED43FE" w:rsidRDefault="00ED43FE" w:rsidP="00ED43FE">
            <w:pPr>
              <w:spacing w:after="240"/>
              <w:jc w:val="center"/>
              <w:rPr>
                <w:rFonts w:cs="Arial"/>
                <w:b/>
                <w:szCs w:val="22"/>
              </w:rPr>
            </w:pPr>
            <w:r w:rsidRPr="00ED43FE">
              <w:rPr>
                <w:rFonts w:cs="Arial"/>
                <w:b/>
                <w:szCs w:val="22"/>
              </w:rPr>
              <w:t>7</w:t>
            </w:r>
          </w:p>
        </w:tc>
        <w:tc>
          <w:tcPr>
            <w:tcW w:w="424" w:type="pct"/>
          </w:tcPr>
          <w:p w14:paraId="5BEF8D02" w14:textId="77777777" w:rsidR="000574FE" w:rsidRPr="00ED43FE" w:rsidRDefault="000574FE" w:rsidP="00ED43FE">
            <w:pPr>
              <w:spacing w:after="240"/>
              <w:rPr>
                <w:rFonts w:cs="Arial"/>
                <w:szCs w:val="22"/>
              </w:rPr>
            </w:pPr>
            <w:r w:rsidRPr="00ED43FE">
              <w:rPr>
                <w:rFonts w:cs="Arial"/>
              </w:rPr>
              <w:t>Guideline</w:t>
            </w:r>
          </w:p>
        </w:tc>
        <w:tc>
          <w:tcPr>
            <w:tcW w:w="367" w:type="pct"/>
          </w:tcPr>
          <w:p w14:paraId="10016B8F" w14:textId="77777777" w:rsidR="000574FE" w:rsidRPr="006B094C" w:rsidRDefault="000574FE" w:rsidP="00ED43FE">
            <w:pPr>
              <w:spacing w:after="240"/>
              <w:rPr>
                <w:rFonts w:cs="Arial"/>
                <w:szCs w:val="22"/>
              </w:rPr>
            </w:pPr>
            <w:r>
              <w:rPr>
                <w:rFonts w:cs="Arial"/>
              </w:rPr>
              <w:t>62</w:t>
            </w:r>
          </w:p>
        </w:tc>
        <w:tc>
          <w:tcPr>
            <w:tcW w:w="392" w:type="pct"/>
          </w:tcPr>
          <w:p w14:paraId="2187FAA8" w14:textId="77777777" w:rsidR="000574FE" w:rsidRPr="008E6035" w:rsidRDefault="000574FE" w:rsidP="00ED43FE">
            <w:pPr>
              <w:spacing w:after="240"/>
              <w:rPr>
                <w:rFonts w:cs="Arial"/>
                <w:szCs w:val="22"/>
              </w:rPr>
            </w:pPr>
            <w:r w:rsidRPr="008E6035">
              <w:rPr>
                <w:rFonts w:cs="Arial"/>
              </w:rPr>
              <w:t>3</w:t>
            </w:r>
          </w:p>
        </w:tc>
        <w:tc>
          <w:tcPr>
            <w:tcW w:w="3375" w:type="pct"/>
          </w:tcPr>
          <w:p w14:paraId="4108464C" w14:textId="77777777" w:rsidR="00D94E2E" w:rsidRDefault="000574FE" w:rsidP="00ED43FE">
            <w:pPr>
              <w:spacing w:after="240" w:line="276" w:lineRule="auto"/>
            </w:pPr>
            <w:r w:rsidRPr="008E6035">
              <w:rPr>
                <w:b/>
              </w:rPr>
              <w:t>Recommendations for research – peer support</w:t>
            </w:r>
            <w:r>
              <w:rPr>
                <w:b/>
              </w:rPr>
              <w:t>.</w:t>
            </w:r>
            <w:r>
              <w:t xml:space="preserve"> </w:t>
            </w:r>
            <w:r w:rsidR="005C6C14">
              <w:t>Citing</w:t>
            </w:r>
            <w:r>
              <w:t xml:space="preserve"> a lack of evidence (p.67, li.7), the guidelines recommend establishing if peer support</w:t>
            </w:r>
            <w:r w:rsidRPr="008E6035">
              <w:t xml:space="preserve"> </w:t>
            </w:r>
            <w:r>
              <w:t xml:space="preserve">is </w:t>
            </w:r>
            <w:r w:rsidRPr="008E6035">
              <w:t>effective and cost-effective</w:t>
            </w:r>
            <w:r w:rsidR="00CB76C0">
              <w:t xml:space="preserve">. </w:t>
            </w:r>
            <w:r w:rsidR="009A329A">
              <w:t>W</w:t>
            </w:r>
            <w:r w:rsidR="00250684">
              <w:t xml:space="preserve">e suggest extending this to recommend research into the efficacy/cost-effectiveness of peer support </w:t>
            </w:r>
            <w:r w:rsidR="00250684" w:rsidRPr="007007F1">
              <w:rPr>
                <w:i/>
                <w:iCs/>
              </w:rPr>
              <w:t>across clinical and non-clinical</w:t>
            </w:r>
            <w:r w:rsidR="00AF4A63" w:rsidRPr="007007F1">
              <w:rPr>
                <w:i/>
                <w:iCs/>
              </w:rPr>
              <w:t xml:space="preserve"> interventions</w:t>
            </w:r>
            <w:r w:rsidR="00AF4A63">
              <w:t>.</w:t>
            </w:r>
          </w:p>
          <w:p w14:paraId="591281E0" w14:textId="0BB1DA16" w:rsidR="000574FE" w:rsidRPr="00D94E2E" w:rsidRDefault="005F04C8" w:rsidP="00ED43FE">
            <w:pPr>
              <w:spacing w:after="240" w:line="276" w:lineRule="auto"/>
            </w:pPr>
            <w:r>
              <w:t>Most non-clinical creative approaches</w:t>
            </w:r>
            <w:r w:rsidR="00144F11">
              <w:t>, such as singing or art classes,</w:t>
            </w:r>
            <w:r>
              <w:t xml:space="preserve"> are conducted in groups</w:t>
            </w:r>
            <w:r w:rsidR="00CD4A98">
              <w:t>,</w:t>
            </w:r>
            <w:r w:rsidR="002E125E">
              <w:t xml:space="preserve"> so have a strong peer support element</w:t>
            </w:r>
            <w:r w:rsidR="00CD4A98">
              <w:t xml:space="preserve"> (</w:t>
            </w:r>
            <w:r w:rsidR="00EB5807">
              <w:t xml:space="preserve">aligning with other </w:t>
            </w:r>
            <w:r w:rsidR="00CD4A98">
              <w:t xml:space="preserve">NICE </w:t>
            </w:r>
            <w:r w:rsidR="00E632E0">
              <w:t xml:space="preserve">recommended </w:t>
            </w:r>
            <w:r w:rsidR="00EB5807">
              <w:t>activities</w:t>
            </w:r>
            <w:r>
              <w:t xml:space="preserve"> including</w:t>
            </w:r>
            <w:r w:rsidR="000574FE" w:rsidRPr="008E6035">
              <w:t xml:space="preserve"> </w:t>
            </w:r>
            <w:r w:rsidR="000574FE">
              <w:t>exercise and mindfulness</w:t>
            </w:r>
            <w:r w:rsidR="000574FE" w:rsidRPr="008E6035">
              <w:t>)</w:t>
            </w:r>
            <w:r w:rsidR="00A52E56">
              <w:t xml:space="preserve">. This would provide further opportunities for research into </w:t>
            </w:r>
            <w:r w:rsidR="00892541">
              <w:t>peer support.</w:t>
            </w:r>
          </w:p>
        </w:tc>
      </w:tr>
      <w:tr w:rsidR="00ED43FE" w:rsidRPr="006B094C" w14:paraId="2019D84C" w14:textId="77777777" w:rsidTr="00BC7076">
        <w:tc>
          <w:tcPr>
            <w:tcW w:w="442" w:type="pct"/>
          </w:tcPr>
          <w:p w14:paraId="3647BB46" w14:textId="3BE9E212" w:rsidR="000574FE" w:rsidRPr="00ED43FE" w:rsidRDefault="00ED43FE" w:rsidP="00ED43FE">
            <w:pPr>
              <w:spacing w:after="240"/>
              <w:jc w:val="center"/>
              <w:rPr>
                <w:rFonts w:cs="Arial"/>
                <w:b/>
                <w:szCs w:val="22"/>
              </w:rPr>
            </w:pPr>
            <w:r w:rsidRPr="00ED43FE">
              <w:rPr>
                <w:rFonts w:cs="Arial"/>
                <w:b/>
                <w:szCs w:val="22"/>
              </w:rPr>
              <w:t>8</w:t>
            </w:r>
          </w:p>
        </w:tc>
        <w:tc>
          <w:tcPr>
            <w:tcW w:w="424" w:type="pct"/>
          </w:tcPr>
          <w:p w14:paraId="78E8461E" w14:textId="77777777" w:rsidR="000574FE" w:rsidRPr="00ED43FE" w:rsidRDefault="000574FE" w:rsidP="00ED43FE">
            <w:pPr>
              <w:spacing w:after="240"/>
              <w:rPr>
                <w:rFonts w:cs="Arial"/>
                <w:szCs w:val="22"/>
              </w:rPr>
            </w:pPr>
            <w:r w:rsidRPr="00ED43FE">
              <w:rPr>
                <w:rFonts w:cs="Arial"/>
              </w:rPr>
              <w:t>Guideline</w:t>
            </w:r>
          </w:p>
        </w:tc>
        <w:tc>
          <w:tcPr>
            <w:tcW w:w="367" w:type="pct"/>
          </w:tcPr>
          <w:p w14:paraId="01D6D700" w14:textId="77777777" w:rsidR="000574FE" w:rsidRPr="00A94876" w:rsidRDefault="000574FE" w:rsidP="00ED43FE">
            <w:pPr>
              <w:spacing w:after="240"/>
              <w:rPr>
                <w:rFonts w:cs="Arial"/>
                <w:szCs w:val="22"/>
              </w:rPr>
            </w:pPr>
            <w:r w:rsidRPr="00A94876">
              <w:rPr>
                <w:rFonts w:cs="Arial"/>
              </w:rPr>
              <w:t>11</w:t>
            </w:r>
          </w:p>
        </w:tc>
        <w:tc>
          <w:tcPr>
            <w:tcW w:w="392" w:type="pct"/>
          </w:tcPr>
          <w:p w14:paraId="2A02D645" w14:textId="77777777" w:rsidR="000574FE" w:rsidRPr="00A94876" w:rsidRDefault="000574FE" w:rsidP="00ED43FE">
            <w:pPr>
              <w:spacing w:after="240"/>
              <w:rPr>
                <w:rFonts w:cs="Arial"/>
                <w:szCs w:val="22"/>
              </w:rPr>
            </w:pPr>
            <w:r w:rsidRPr="00A94876">
              <w:rPr>
                <w:rFonts w:cs="Arial"/>
              </w:rPr>
              <w:t>3-12</w:t>
            </w:r>
          </w:p>
        </w:tc>
        <w:tc>
          <w:tcPr>
            <w:tcW w:w="3375" w:type="pct"/>
          </w:tcPr>
          <w:p w14:paraId="49E2E28B" w14:textId="2D00DF0A" w:rsidR="000574FE" w:rsidRPr="0094551D" w:rsidRDefault="000574FE" w:rsidP="00642D35">
            <w:pPr>
              <w:spacing w:after="240" w:line="276" w:lineRule="auto"/>
              <w:rPr>
                <w:rFonts w:cs="Arial"/>
                <w:szCs w:val="22"/>
              </w:rPr>
            </w:pPr>
            <w:r>
              <w:rPr>
                <w:b/>
              </w:rPr>
              <w:t>Patient choice</w:t>
            </w:r>
            <w:r w:rsidR="00642D35">
              <w:rPr>
                <w:b/>
              </w:rPr>
              <w:t xml:space="preserve"> - communication</w:t>
            </w:r>
            <w:r>
              <w:rPr>
                <w:b/>
              </w:rPr>
              <w:t>.</w:t>
            </w:r>
            <w:r>
              <w:t xml:space="preserve"> Among the </w:t>
            </w:r>
            <w:r w:rsidR="00E47758">
              <w:t>recommended</w:t>
            </w:r>
            <w:r>
              <w:t xml:space="preserve"> therapeutic approaches, some</w:t>
            </w:r>
            <w:r w:rsidRPr="0094551D">
              <w:t>, such as psychodynamic psychotherapy</w:t>
            </w:r>
            <w:r>
              <w:t>,</w:t>
            </w:r>
            <w:r w:rsidRPr="0094551D">
              <w:t xml:space="preserve"> can be adapted to accommodate </w:t>
            </w:r>
            <w:r>
              <w:t xml:space="preserve">alternative </w:t>
            </w:r>
            <w:r w:rsidRPr="0094551D">
              <w:t>forms of communication</w:t>
            </w:r>
            <w:r>
              <w:t xml:space="preserve"> such as music or art,</w:t>
            </w:r>
            <w:r w:rsidRPr="0094551D">
              <w:t xml:space="preserve"> if appropriate. </w:t>
            </w:r>
            <w:r w:rsidR="00280331">
              <w:t>I</w:t>
            </w:r>
            <w:r w:rsidRPr="0094551D">
              <w:t xml:space="preserve">nitial discussions </w:t>
            </w:r>
            <w:r w:rsidR="00F60D00">
              <w:t xml:space="preserve">with the patient </w:t>
            </w:r>
            <w:r>
              <w:t xml:space="preserve">around </w:t>
            </w:r>
            <w:r w:rsidR="00FB2551">
              <w:t>selecting a</w:t>
            </w:r>
            <w:r>
              <w:t xml:space="preserve"> therapeutic</w:t>
            </w:r>
            <w:r w:rsidRPr="0094551D">
              <w:t xml:space="preserve"> </w:t>
            </w:r>
            <w:r>
              <w:t>approach</w:t>
            </w:r>
            <w:r w:rsidR="00505492">
              <w:t xml:space="preserve"> should </w:t>
            </w:r>
            <w:r w:rsidR="00F60D00">
              <w:t>acknowledge</w:t>
            </w:r>
            <w:r w:rsidR="00505492">
              <w:t xml:space="preserve"> this – although it would be at the therapist’s discretion</w:t>
            </w:r>
            <w:r w:rsidRPr="0094551D">
              <w:t>.</w:t>
            </w:r>
          </w:p>
        </w:tc>
      </w:tr>
      <w:tr w:rsidR="00ED43FE" w:rsidRPr="006B094C" w14:paraId="02FF7567" w14:textId="77777777" w:rsidTr="00BC7076">
        <w:tc>
          <w:tcPr>
            <w:tcW w:w="442" w:type="pct"/>
          </w:tcPr>
          <w:p w14:paraId="1A8BA15F" w14:textId="16929526" w:rsidR="000574FE" w:rsidRPr="00ED43FE" w:rsidRDefault="00ED43FE" w:rsidP="00ED43FE">
            <w:pPr>
              <w:spacing w:after="240"/>
              <w:jc w:val="center"/>
              <w:rPr>
                <w:rFonts w:cs="Arial"/>
                <w:b/>
                <w:szCs w:val="22"/>
              </w:rPr>
            </w:pPr>
            <w:r w:rsidRPr="00ED43FE">
              <w:rPr>
                <w:rFonts w:cs="Arial"/>
                <w:b/>
                <w:szCs w:val="22"/>
              </w:rPr>
              <w:t>9</w:t>
            </w:r>
          </w:p>
        </w:tc>
        <w:tc>
          <w:tcPr>
            <w:tcW w:w="424" w:type="pct"/>
          </w:tcPr>
          <w:p w14:paraId="79BA711B" w14:textId="77777777" w:rsidR="000574FE" w:rsidRPr="00ED43FE" w:rsidRDefault="000574FE" w:rsidP="00ED43FE">
            <w:pPr>
              <w:spacing w:after="240"/>
              <w:rPr>
                <w:rFonts w:cs="Arial"/>
                <w:szCs w:val="22"/>
              </w:rPr>
            </w:pPr>
            <w:r w:rsidRPr="00ED43FE">
              <w:rPr>
                <w:rFonts w:cs="Arial"/>
              </w:rPr>
              <w:t>Guideline</w:t>
            </w:r>
          </w:p>
        </w:tc>
        <w:tc>
          <w:tcPr>
            <w:tcW w:w="367" w:type="pct"/>
          </w:tcPr>
          <w:p w14:paraId="00921079" w14:textId="77777777" w:rsidR="000574FE" w:rsidRPr="006B094C" w:rsidRDefault="000574FE" w:rsidP="00ED43FE">
            <w:pPr>
              <w:spacing w:after="240"/>
              <w:rPr>
                <w:rFonts w:cs="Arial"/>
                <w:szCs w:val="22"/>
              </w:rPr>
            </w:pPr>
            <w:r>
              <w:rPr>
                <w:rFonts w:cs="Arial"/>
              </w:rPr>
              <w:t>49</w:t>
            </w:r>
          </w:p>
        </w:tc>
        <w:tc>
          <w:tcPr>
            <w:tcW w:w="392" w:type="pct"/>
          </w:tcPr>
          <w:p w14:paraId="7E8EA894" w14:textId="3137AA10" w:rsidR="000574FE" w:rsidRPr="006B094C" w:rsidRDefault="00FF633E" w:rsidP="00ED43FE">
            <w:pPr>
              <w:spacing w:after="240"/>
              <w:rPr>
                <w:rFonts w:cs="Arial"/>
                <w:szCs w:val="22"/>
              </w:rPr>
            </w:pPr>
            <w:r>
              <w:rPr>
                <w:rFonts w:cs="Arial"/>
              </w:rPr>
              <w:t>15-</w:t>
            </w:r>
            <w:r w:rsidR="000574FE">
              <w:rPr>
                <w:rFonts w:cs="Arial"/>
              </w:rPr>
              <w:t>1</w:t>
            </w:r>
            <w:r>
              <w:rPr>
                <w:rFonts w:cs="Arial"/>
              </w:rPr>
              <w:t>6</w:t>
            </w:r>
          </w:p>
        </w:tc>
        <w:tc>
          <w:tcPr>
            <w:tcW w:w="3375" w:type="pct"/>
          </w:tcPr>
          <w:p w14:paraId="41E61F91" w14:textId="2BF67D21" w:rsidR="000574FE" w:rsidRDefault="000574FE" w:rsidP="00ED43FE">
            <w:pPr>
              <w:spacing w:after="240" w:line="276" w:lineRule="auto"/>
            </w:pPr>
            <w:r w:rsidRPr="00455A30">
              <w:rPr>
                <w:b/>
              </w:rPr>
              <w:t>ECT</w:t>
            </w:r>
            <w:r>
              <w:t xml:space="preserve"> for severe depression if other treatments have been unsuccessful. </w:t>
            </w:r>
            <w:r w:rsidR="002909F3">
              <w:t xml:space="preserve">While there is </w:t>
            </w:r>
            <w:r w:rsidR="00DB2C46">
              <w:t xml:space="preserve">some </w:t>
            </w:r>
            <w:r w:rsidR="002909F3">
              <w:t>evidence in support of ECT, we find it worrying that so much space is devoted to this ‘esoteric’ (Naqvi, 2007) therapeutic approach, yet none is devoted to any arts or cultural approaches.</w:t>
            </w:r>
            <w:r w:rsidR="00617DAB">
              <w:t xml:space="preserve"> ECT is likely to be </w:t>
            </w:r>
            <w:r w:rsidR="00617DAB" w:rsidRPr="00DB2C46">
              <w:rPr>
                <w:i/>
                <w:iCs/>
              </w:rPr>
              <w:t>less</w:t>
            </w:r>
            <w:r w:rsidR="00617DAB">
              <w:t xml:space="preserve"> preferable to patients compared with the broad range of non-clinical interventions that could be offered but are not mentioned in these guidelines.</w:t>
            </w:r>
          </w:p>
          <w:p w14:paraId="4609DA10" w14:textId="4E1796ED" w:rsidR="00A11565" w:rsidRPr="00EF4022" w:rsidRDefault="000574FE" w:rsidP="00642D35">
            <w:pPr>
              <w:spacing w:after="240" w:line="276" w:lineRule="auto"/>
            </w:pPr>
            <w:r>
              <w:t>ECT is often prescribed for patients who have lost all motivation and who are unresponsive to other therapies. If creative arts</w:t>
            </w:r>
            <w:r w:rsidR="00EE0354">
              <w:t xml:space="preserve">-based interventions </w:t>
            </w:r>
            <w:r>
              <w:t>are</w:t>
            </w:r>
            <w:r w:rsidR="00EE0354">
              <w:t xml:space="preserve"> </w:t>
            </w:r>
            <w:r>
              <w:t>n</w:t>
            </w:r>
            <w:r w:rsidR="00EE0354">
              <w:t>o</w:t>
            </w:r>
            <w:r>
              <w:t>t available, this</w:t>
            </w:r>
            <w:r w:rsidR="00642D35">
              <w:t xml:space="preserve"> restricts choice,</w:t>
            </w:r>
            <w:r>
              <w:t xml:space="preserve"> has human rights </w:t>
            </w:r>
            <w:r>
              <w:lastRenderedPageBreak/>
              <w:t xml:space="preserve">implications and costs a lot of money. </w:t>
            </w:r>
            <w:r w:rsidR="00EE0354">
              <w:t>The continued use of</w:t>
            </w:r>
            <w:r>
              <w:t xml:space="preserve"> ECT</w:t>
            </w:r>
            <w:r w:rsidR="00EE0354">
              <w:t>, even as a last resort, has been described as</w:t>
            </w:r>
            <w:r>
              <w:t xml:space="preserve"> </w:t>
            </w:r>
            <w:r w:rsidR="00EE0354">
              <w:t>‘</w:t>
            </w:r>
            <w:r>
              <w:t>a stark example of a system failing people’</w:t>
            </w:r>
            <w:r w:rsidR="00034CA1">
              <w:t xml:space="preserve"> (Clarke, 2021)</w:t>
            </w:r>
            <w:r>
              <w:t>.</w:t>
            </w:r>
          </w:p>
        </w:tc>
      </w:tr>
      <w:tr w:rsidR="009F7B40" w:rsidRPr="006B094C" w14:paraId="1F14070F" w14:textId="77777777" w:rsidTr="00BC7076">
        <w:tc>
          <w:tcPr>
            <w:tcW w:w="442" w:type="pct"/>
          </w:tcPr>
          <w:p w14:paraId="1C429E36" w14:textId="5CECA3E2" w:rsidR="009F7B40" w:rsidRPr="00ED43FE" w:rsidRDefault="009F7B40" w:rsidP="009F7B40">
            <w:pPr>
              <w:spacing w:after="240"/>
              <w:jc w:val="center"/>
              <w:rPr>
                <w:rFonts w:cs="Arial"/>
                <w:b/>
                <w:szCs w:val="22"/>
              </w:rPr>
            </w:pPr>
            <w:r w:rsidRPr="00ED43FE">
              <w:rPr>
                <w:rFonts w:cs="Arial"/>
                <w:b/>
                <w:szCs w:val="22"/>
              </w:rPr>
              <w:lastRenderedPageBreak/>
              <w:t>1</w:t>
            </w:r>
            <w:r w:rsidR="00B852C3">
              <w:rPr>
                <w:rFonts w:cs="Arial"/>
                <w:b/>
                <w:szCs w:val="22"/>
              </w:rPr>
              <w:t>0</w:t>
            </w:r>
          </w:p>
        </w:tc>
        <w:tc>
          <w:tcPr>
            <w:tcW w:w="424" w:type="pct"/>
          </w:tcPr>
          <w:p w14:paraId="42BC2DCC" w14:textId="65CB1D59" w:rsidR="009F7B40" w:rsidRPr="00ED43FE" w:rsidRDefault="00B852C3" w:rsidP="009F7B40">
            <w:pPr>
              <w:spacing w:after="240"/>
              <w:rPr>
                <w:rFonts w:cs="Arial"/>
              </w:rPr>
            </w:pPr>
            <w:r>
              <w:rPr>
                <w:rFonts w:cs="Arial"/>
              </w:rPr>
              <w:t>Guideline</w:t>
            </w:r>
          </w:p>
        </w:tc>
        <w:tc>
          <w:tcPr>
            <w:tcW w:w="367" w:type="pct"/>
          </w:tcPr>
          <w:p w14:paraId="4835BD15" w14:textId="24F438DD" w:rsidR="009F7B40" w:rsidRDefault="009F7B40" w:rsidP="009F7B40">
            <w:pPr>
              <w:spacing w:after="240"/>
              <w:rPr>
                <w:rFonts w:cs="Arial"/>
                <w:color w:val="FF0000"/>
              </w:rPr>
            </w:pPr>
            <w:r>
              <w:rPr>
                <w:rFonts w:cs="Arial"/>
              </w:rPr>
              <w:t>71-72</w:t>
            </w:r>
          </w:p>
        </w:tc>
        <w:tc>
          <w:tcPr>
            <w:tcW w:w="392" w:type="pct"/>
          </w:tcPr>
          <w:p w14:paraId="50A39D87" w14:textId="086DAA03" w:rsidR="009F7B40" w:rsidRDefault="009F7B40" w:rsidP="009F7B40">
            <w:pPr>
              <w:spacing w:after="240"/>
              <w:rPr>
                <w:rFonts w:cs="Arial"/>
                <w:color w:val="FF0000"/>
              </w:rPr>
            </w:pPr>
            <w:r>
              <w:rPr>
                <w:rFonts w:cs="Arial"/>
              </w:rPr>
              <w:t>31</w:t>
            </w:r>
            <w:r w:rsidR="000844BB">
              <w:rPr>
                <w:rFonts w:cs="Arial"/>
              </w:rPr>
              <w:t>-3</w:t>
            </w:r>
          </w:p>
        </w:tc>
        <w:tc>
          <w:tcPr>
            <w:tcW w:w="3375" w:type="pct"/>
          </w:tcPr>
          <w:p w14:paraId="098962FA" w14:textId="77777777" w:rsidR="00780FD2" w:rsidRDefault="009F7B40" w:rsidP="009F7B40">
            <w:pPr>
              <w:spacing w:after="240" w:line="276" w:lineRule="auto"/>
            </w:pPr>
            <w:r w:rsidRPr="00455A30">
              <w:rPr>
                <w:b/>
              </w:rPr>
              <w:t>ECT –</w:t>
            </w:r>
            <w:r>
              <w:rPr>
                <w:b/>
              </w:rPr>
              <w:t xml:space="preserve"> </w:t>
            </w:r>
            <w:r w:rsidRPr="00455A30">
              <w:rPr>
                <w:b/>
              </w:rPr>
              <w:t>patient choice</w:t>
            </w:r>
            <w:r w:rsidR="00292856">
              <w:rPr>
                <w:b/>
              </w:rPr>
              <w:t>.</w:t>
            </w:r>
            <w:r>
              <w:t xml:space="preserve"> “Based on their knowledge and experience, and to ensure better patient experience, the committee reinforced the recommendations about taking into account patient preferences when considering ECT as a treatment option, in line with their recommendations for other treatment options”.</w:t>
            </w:r>
          </w:p>
          <w:p w14:paraId="2FDF2826" w14:textId="5D2706FE" w:rsidR="009F7B40" w:rsidRPr="00C42C27" w:rsidRDefault="009F7B40" w:rsidP="009F7B40">
            <w:pPr>
              <w:spacing w:after="240" w:line="276" w:lineRule="auto"/>
              <w:rPr>
                <w:b/>
              </w:rPr>
            </w:pPr>
            <w:r>
              <w:t>For this to be realistic, a wider range of therapeutic alternatives must be available, including arts and creative interventions, and other activities which, as we have noted, are not mentioned anywhere in this document.</w:t>
            </w:r>
          </w:p>
        </w:tc>
      </w:tr>
      <w:tr w:rsidR="009F7B40" w:rsidRPr="006B094C" w14:paraId="21718787" w14:textId="77777777" w:rsidTr="00BC7076">
        <w:tc>
          <w:tcPr>
            <w:tcW w:w="442" w:type="pct"/>
          </w:tcPr>
          <w:p w14:paraId="1D479EE0" w14:textId="35C9136F" w:rsidR="009F7B40" w:rsidRPr="00ED43FE" w:rsidRDefault="009F7B40" w:rsidP="009F7B40">
            <w:pPr>
              <w:spacing w:after="240"/>
              <w:jc w:val="center"/>
              <w:rPr>
                <w:rFonts w:cs="Arial"/>
                <w:b/>
                <w:szCs w:val="22"/>
              </w:rPr>
            </w:pPr>
            <w:r w:rsidRPr="00ED43FE">
              <w:rPr>
                <w:rFonts w:cs="Arial"/>
                <w:b/>
                <w:szCs w:val="22"/>
              </w:rPr>
              <w:t>1</w:t>
            </w:r>
            <w:r w:rsidR="00B852C3">
              <w:rPr>
                <w:rFonts w:cs="Arial"/>
                <w:b/>
                <w:szCs w:val="22"/>
              </w:rPr>
              <w:t>1</w:t>
            </w:r>
          </w:p>
        </w:tc>
        <w:tc>
          <w:tcPr>
            <w:tcW w:w="424" w:type="pct"/>
          </w:tcPr>
          <w:p w14:paraId="5FA6C287" w14:textId="77777777" w:rsidR="009F7B40" w:rsidRPr="00ED43FE" w:rsidRDefault="009F7B40" w:rsidP="009F7B40">
            <w:pPr>
              <w:spacing w:after="240"/>
              <w:rPr>
                <w:rFonts w:cs="Arial"/>
                <w:szCs w:val="22"/>
              </w:rPr>
            </w:pPr>
            <w:r w:rsidRPr="00ED43FE">
              <w:rPr>
                <w:rFonts w:cs="Arial"/>
              </w:rPr>
              <w:t>Guideline</w:t>
            </w:r>
          </w:p>
        </w:tc>
        <w:tc>
          <w:tcPr>
            <w:tcW w:w="367" w:type="pct"/>
          </w:tcPr>
          <w:p w14:paraId="1B81AD01" w14:textId="77777777" w:rsidR="009F7B40" w:rsidRPr="00292856" w:rsidRDefault="009F7B40" w:rsidP="009F7B40">
            <w:pPr>
              <w:spacing w:after="240"/>
              <w:rPr>
                <w:rFonts w:cs="Arial"/>
              </w:rPr>
            </w:pPr>
            <w:r w:rsidRPr="00292856">
              <w:rPr>
                <w:rFonts w:cs="Arial"/>
              </w:rPr>
              <w:t>50</w:t>
            </w:r>
          </w:p>
        </w:tc>
        <w:tc>
          <w:tcPr>
            <w:tcW w:w="392" w:type="pct"/>
          </w:tcPr>
          <w:p w14:paraId="58D6D1C9" w14:textId="5950020A" w:rsidR="009F7B40" w:rsidRPr="00292856" w:rsidRDefault="009F7B40" w:rsidP="009F7B40">
            <w:pPr>
              <w:spacing w:after="240"/>
              <w:rPr>
                <w:rFonts w:cs="Arial"/>
              </w:rPr>
            </w:pPr>
            <w:r w:rsidRPr="00292856">
              <w:rPr>
                <w:rFonts w:cs="Arial"/>
              </w:rPr>
              <w:t>15</w:t>
            </w:r>
            <w:r w:rsidR="0059107B">
              <w:rPr>
                <w:rFonts w:cs="Arial"/>
              </w:rPr>
              <w:t>-16</w:t>
            </w:r>
          </w:p>
        </w:tc>
        <w:tc>
          <w:tcPr>
            <w:tcW w:w="3375" w:type="pct"/>
          </w:tcPr>
          <w:p w14:paraId="23ED6E99" w14:textId="5472C32C" w:rsidR="0018750F" w:rsidRDefault="009F7B40" w:rsidP="009F7B40">
            <w:pPr>
              <w:spacing w:after="240" w:line="276" w:lineRule="auto"/>
              <w:rPr>
                <w:b/>
              </w:rPr>
            </w:pPr>
            <w:r w:rsidRPr="00C42C27">
              <w:rPr>
                <w:b/>
              </w:rPr>
              <w:t xml:space="preserve">ECT – </w:t>
            </w:r>
            <w:r w:rsidR="0036571E">
              <w:rPr>
                <w:b/>
              </w:rPr>
              <w:t>informed consent</w:t>
            </w:r>
            <w:r w:rsidRPr="00C42C27">
              <w:rPr>
                <w:b/>
              </w:rPr>
              <w:t>.</w:t>
            </w:r>
            <w:r w:rsidR="0018750F">
              <w:t xml:space="preserve"> The guidelines </w:t>
            </w:r>
            <w:r w:rsidR="007524A9">
              <w:t xml:space="preserve">rightly </w:t>
            </w:r>
            <w:r w:rsidR="0018750F">
              <w:t xml:space="preserve">discuss informed consent. However, we have serious concerns that </w:t>
            </w:r>
            <w:r w:rsidR="00417155">
              <w:t xml:space="preserve">while </w:t>
            </w:r>
            <w:r w:rsidR="0018750F">
              <w:t xml:space="preserve">a person with severe depression may be deemed to have cognitive capacity to understand, </w:t>
            </w:r>
            <w:r w:rsidR="00417155">
              <w:t>they might</w:t>
            </w:r>
            <w:r w:rsidR="0018750F">
              <w:t xml:space="preserve"> not</w:t>
            </w:r>
            <w:r w:rsidR="00417155">
              <w:t xml:space="preserve"> have</w:t>
            </w:r>
            <w:r w:rsidR="0018750F">
              <w:t xml:space="preserve"> the motivational capacity to decline ECT as an option.</w:t>
            </w:r>
          </w:p>
          <w:p w14:paraId="4518AFAF" w14:textId="51ED1886" w:rsidR="009F7B40" w:rsidRDefault="0018750F" w:rsidP="009F7B40">
            <w:pPr>
              <w:spacing w:after="240" w:line="276" w:lineRule="auto"/>
            </w:pPr>
            <w:r>
              <w:rPr>
                <w:b/>
              </w:rPr>
              <w:t>Advance Treatment Decisions</w:t>
            </w:r>
            <w:r w:rsidR="00417155">
              <w:rPr>
                <w:b/>
              </w:rPr>
              <w:t>.</w:t>
            </w:r>
            <w:r>
              <w:rPr>
                <w:b/>
              </w:rPr>
              <w:t xml:space="preserve"> </w:t>
            </w:r>
            <w:r w:rsidR="009F7B40">
              <w:t>“If a person with depression cannot give informed consent, only give ECT if it does not conflict with an advance treatment decision the person made”.</w:t>
            </w:r>
          </w:p>
          <w:p w14:paraId="443ADE5E" w14:textId="07BF849B" w:rsidR="009F7B40" w:rsidRPr="00974E7C" w:rsidRDefault="00BF3A8B" w:rsidP="009F7B40">
            <w:pPr>
              <w:spacing w:after="240" w:line="276" w:lineRule="auto"/>
            </w:pPr>
            <w:r>
              <w:t xml:space="preserve">In making </w:t>
            </w:r>
            <w:r w:rsidR="009F7B40">
              <w:t>Advance Treatment Decisions</w:t>
            </w:r>
            <w:r>
              <w:t>,</w:t>
            </w:r>
            <w:r w:rsidR="009F7B40">
              <w:t xml:space="preserve"> the patient is likely to opt for less intrusive option</w:t>
            </w:r>
            <w:r w:rsidR="003B2FD5">
              <w:t>s</w:t>
            </w:r>
            <w:r w:rsidR="009F7B40">
              <w:t>.</w:t>
            </w:r>
            <w:r w:rsidR="003B2FD5">
              <w:t xml:space="preserve"> </w:t>
            </w:r>
            <w:r w:rsidR="00D2454B">
              <w:t>These</w:t>
            </w:r>
            <w:r w:rsidR="009F7B40">
              <w:t xml:space="preserve"> options </w:t>
            </w:r>
            <w:r w:rsidR="00D2454B">
              <w:t>must include</w:t>
            </w:r>
            <w:r w:rsidR="009F7B40">
              <w:t xml:space="preserve"> non-clinical approaches if available. </w:t>
            </w:r>
            <w:r w:rsidR="00F5798F">
              <w:t>In line with our previous suggestions, w</w:t>
            </w:r>
            <w:r w:rsidR="009F7B40">
              <w:t>e would like to see a wider range of alternatives (including creative arts-based approaches) offered ahead of ECT, including in Advance Treatment Decisions.</w:t>
            </w:r>
          </w:p>
        </w:tc>
      </w:tr>
      <w:tr w:rsidR="00BD00C1" w:rsidRPr="00BD00C1" w14:paraId="77946024" w14:textId="77777777" w:rsidTr="00BC7076">
        <w:tc>
          <w:tcPr>
            <w:tcW w:w="442" w:type="pct"/>
          </w:tcPr>
          <w:p w14:paraId="1B69158B" w14:textId="2DFBAC3F" w:rsidR="009F7B40" w:rsidRPr="00BD00C1" w:rsidRDefault="009F7B40" w:rsidP="009F7B40">
            <w:pPr>
              <w:spacing w:after="240"/>
              <w:jc w:val="center"/>
              <w:rPr>
                <w:rFonts w:cs="Arial"/>
                <w:b/>
                <w:color w:val="000000" w:themeColor="text1"/>
                <w:szCs w:val="22"/>
              </w:rPr>
            </w:pPr>
            <w:r w:rsidRPr="00BD00C1">
              <w:rPr>
                <w:rFonts w:cs="Arial"/>
                <w:b/>
                <w:color w:val="000000" w:themeColor="text1"/>
                <w:szCs w:val="22"/>
              </w:rPr>
              <w:t>1</w:t>
            </w:r>
            <w:r w:rsidR="00B852C3" w:rsidRPr="00BD00C1">
              <w:rPr>
                <w:rFonts w:cs="Arial"/>
                <w:b/>
                <w:color w:val="000000" w:themeColor="text1"/>
                <w:szCs w:val="22"/>
              </w:rPr>
              <w:t>2</w:t>
            </w:r>
          </w:p>
        </w:tc>
        <w:tc>
          <w:tcPr>
            <w:tcW w:w="424" w:type="pct"/>
          </w:tcPr>
          <w:p w14:paraId="296C449F" w14:textId="116BEAA0" w:rsidR="009F7B40" w:rsidRPr="00BD00C1" w:rsidRDefault="00332A99" w:rsidP="009F7B40">
            <w:pPr>
              <w:spacing w:after="240"/>
              <w:rPr>
                <w:rFonts w:cs="Arial"/>
                <w:color w:val="000000" w:themeColor="text1"/>
                <w:szCs w:val="22"/>
              </w:rPr>
            </w:pPr>
            <w:r w:rsidRPr="00BD00C1">
              <w:rPr>
                <w:rFonts w:cs="Arial"/>
                <w:color w:val="000000" w:themeColor="text1"/>
              </w:rPr>
              <w:t xml:space="preserve">Guideline </w:t>
            </w:r>
          </w:p>
        </w:tc>
        <w:tc>
          <w:tcPr>
            <w:tcW w:w="367" w:type="pct"/>
          </w:tcPr>
          <w:p w14:paraId="39915A69" w14:textId="1E3AFD90" w:rsidR="009F7B40" w:rsidRPr="00BD00C1" w:rsidRDefault="00332A99" w:rsidP="009F7B40">
            <w:pPr>
              <w:spacing w:after="240"/>
              <w:rPr>
                <w:rFonts w:cs="Arial"/>
                <w:color w:val="000000" w:themeColor="text1"/>
                <w:szCs w:val="22"/>
              </w:rPr>
            </w:pPr>
            <w:r w:rsidRPr="00BD00C1">
              <w:rPr>
                <w:rFonts w:cs="Arial"/>
                <w:color w:val="000000" w:themeColor="text1"/>
                <w:szCs w:val="22"/>
              </w:rPr>
              <w:t>General</w:t>
            </w:r>
          </w:p>
        </w:tc>
        <w:tc>
          <w:tcPr>
            <w:tcW w:w="392" w:type="pct"/>
          </w:tcPr>
          <w:p w14:paraId="18462F09" w14:textId="2933B5C5" w:rsidR="009F7B40" w:rsidRPr="00BD00C1" w:rsidRDefault="00332A99" w:rsidP="009F7B40">
            <w:pPr>
              <w:spacing w:after="240"/>
              <w:rPr>
                <w:rFonts w:cs="Arial"/>
                <w:color w:val="000000" w:themeColor="text1"/>
                <w:szCs w:val="22"/>
              </w:rPr>
            </w:pPr>
            <w:r w:rsidRPr="00BD00C1">
              <w:rPr>
                <w:rFonts w:cs="Arial"/>
                <w:color w:val="000000" w:themeColor="text1"/>
              </w:rPr>
              <w:t xml:space="preserve">General </w:t>
            </w:r>
          </w:p>
        </w:tc>
        <w:tc>
          <w:tcPr>
            <w:tcW w:w="3375" w:type="pct"/>
          </w:tcPr>
          <w:p w14:paraId="7B924B06" w14:textId="61A5ECE5" w:rsidR="005C69C4" w:rsidRPr="00BD00C1" w:rsidRDefault="00332A99" w:rsidP="009F7B40">
            <w:pPr>
              <w:spacing w:after="240" w:line="276" w:lineRule="auto"/>
              <w:rPr>
                <w:rFonts w:cs="Arial"/>
                <w:color w:val="000000" w:themeColor="text1"/>
              </w:rPr>
            </w:pPr>
            <w:r w:rsidRPr="00BD00C1">
              <w:rPr>
                <w:rFonts w:cs="Arial"/>
                <w:b/>
                <w:bCs/>
                <w:color w:val="000000" w:themeColor="text1"/>
              </w:rPr>
              <w:t xml:space="preserve">Patient choice. </w:t>
            </w:r>
            <w:r w:rsidR="00CA0F78" w:rsidRPr="00BD00C1">
              <w:rPr>
                <w:rFonts w:cs="Arial"/>
                <w:color w:val="000000" w:themeColor="text1"/>
              </w:rPr>
              <w:t>Given</w:t>
            </w:r>
            <w:r w:rsidR="008931D6" w:rsidRPr="00BD00C1">
              <w:rPr>
                <w:rFonts w:cs="Arial"/>
                <w:color w:val="000000" w:themeColor="text1"/>
              </w:rPr>
              <w:t xml:space="preserve"> NICE</w:t>
            </w:r>
            <w:r w:rsidR="00CA0F78" w:rsidRPr="00BD00C1">
              <w:rPr>
                <w:rFonts w:cs="Arial"/>
                <w:color w:val="000000" w:themeColor="text1"/>
              </w:rPr>
              <w:t>’s commitment</w:t>
            </w:r>
            <w:r w:rsidR="008931D6" w:rsidRPr="00BD00C1">
              <w:rPr>
                <w:rFonts w:cs="Arial"/>
                <w:color w:val="000000" w:themeColor="text1"/>
              </w:rPr>
              <w:t xml:space="preserve"> to patient choice we suggest </w:t>
            </w:r>
            <w:r w:rsidR="00C178DF" w:rsidRPr="00BD00C1">
              <w:rPr>
                <w:rFonts w:cs="Arial"/>
                <w:color w:val="000000" w:themeColor="text1"/>
              </w:rPr>
              <w:t>that moving forward</w:t>
            </w:r>
            <w:r w:rsidR="004A388A" w:rsidRPr="00BD00C1">
              <w:rPr>
                <w:rFonts w:cs="Arial"/>
                <w:color w:val="000000" w:themeColor="text1"/>
              </w:rPr>
              <w:t>,</w:t>
            </w:r>
            <w:r w:rsidR="00C178DF" w:rsidRPr="00BD00C1">
              <w:rPr>
                <w:rFonts w:cs="Arial"/>
                <w:color w:val="000000" w:themeColor="text1"/>
              </w:rPr>
              <w:t xml:space="preserve"> </w:t>
            </w:r>
            <w:r w:rsidR="008931D6" w:rsidRPr="00BD00C1">
              <w:rPr>
                <w:rFonts w:cs="Arial"/>
                <w:color w:val="000000" w:themeColor="text1"/>
              </w:rPr>
              <w:t xml:space="preserve">better </w:t>
            </w:r>
            <w:r w:rsidR="00371AAA" w:rsidRPr="00BD00C1">
              <w:rPr>
                <w:rFonts w:cs="Arial"/>
                <w:color w:val="000000" w:themeColor="text1"/>
              </w:rPr>
              <w:t>u</w:t>
            </w:r>
            <w:r w:rsidR="008931D6" w:rsidRPr="00BD00C1">
              <w:rPr>
                <w:rFonts w:cs="Arial"/>
                <w:color w:val="000000" w:themeColor="text1"/>
              </w:rPr>
              <w:t xml:space="preserve">se </w:t>
            </w:r>
            <w:r w:rsidR="00371AAA" w:rsidRPr="00BD00C1">
              <w:rPr>
                <w:rFonts w:cs="Arial"/>
                <w:color w:val="000000" w:themeColor="text1"/>
              </w:rPr>
              <w:t xml:space="preserve">could be made </w:t>
            </w:r>
            <w:r w:rsidR="008931D6" w:rsidRPr="00BD00C1">
              <w:rPr>
                <w:rFonts w:cs="Arial"/>
                <w:color w:val="000000" w:themeColor="text1"/>
              </w:rPr>
              <w:t>of qualitative evidence</w:t>
            </w:r>
            <w:r w:rsidR="00371AAA" w:rsidRPr="00BD00C1">
              <w:rPr>
                <w:rFonts w:cs="Arial"/>
                <w:color w:val="000000" w:themeColor="text1"/>
              </w:rPr>
              <w:t xml:space="preserve">, as well as </w:t>
            </w:r>
            <w:r w:rsidR="008931D6" w:rsidRPr="00BD00C1">
              <w:rPr>
                <w:rFonts w:cs="Arial"/>
                <w:color w:val="000000" w:themeColor="text1"/>
              </w:rPr>
              <w:t xml:space="preserve">organisations such as the </w:t>
            </w:r>
            <w:r w:rsidR="005C69C4" w:rsidRPr="00BD00C1">
              <w:rPr>
                <w:rFonts w:cs="Arial"/>
                <w:color w:val="000000" w:themeColor="text1"/>
              </w:rPr>
              <w:t>LENs (lived experience network)</w:t>
            </w:r>
            <w:r w:rsidRPr="00BD00C1">
              <w:rPr>
                <w:rFonts w:cs="Arial"/>
                <w:color w:val="000000" w:themeColor="text1"/>
              </w:rPr>
              <w:t>, which</w:t>
            </w:r>
            <w:r w:rsidR="005C69C4" w:rsidRPr="00BD00C1">
              <w:rPr>
                <w:rFonts w:cs="Arial"/>
                <w:color w:val="000000" w:themeColor="text1"/>
              </w:rPr>
              <w:t xml:space="preserve"> exists to ensure that lived experience is central to the development of policy and practice in relation to culture, creativity and health. </w:t>
            </w:r>
            <w:r w:rsidR="001A42E6" w:rsidRPr="00BD00C1">
              <w:rPr>
                <w:rFonts w:cs="Arial"/>
                <w:color w:val="000000" w:themeColor="text1"/>
              </w:rPr>
              <w:t xml:space="preserve">The LENs has champions in each English region, all with lived experience of mental health needs. </w:t>
            </w:r>
            <w:r w:rsidR="005C69C4" w:rsidRPr="00BD00C1">
              <w:rPr>
                <w:rFonts w:cs="Arial"/>
                <w:color w:val="000000" w:themeColor="text1"/>
              </w:rPr>
              <w:t>Members</w:t>
            </w:r>
            <w:r w:rsidR="00AE28F1" w:rsidRPr="00BD00C1">
              <w:rPr>
                <w:rFonts w:cs="Arial"/>
                <w:color w:val="000000" w:themeColor="text1"/>
              </w:rPr>
              <w:t>’</w:t>
            </w:r>
            <w:r w:rsidR="005C69C4" w:rsidRPr="00BD00C1">
              <w:rPr>
                <w:rFonts w:cs="Arial"/>
                <w:color w:val="000000" w:themeColor="text1"/>
              </w:rPr>
              <w:t xml:space="preserve"> testimonials refer to the impacts of creativity on mental health:</w:t>
            </w:r>
          </w:p>
          <w:p w14:paraId="5C140E75" w14:textId="77777777" w:rsidR="009F7B40" w:rsidRPr="00BD00C1" w:rsidRDefault="00AE28F1" w:rsidP="00B10662">
            <w:pPr>
              <w:rPr>
                <w:color w:val="000000" w:themeColor="text1"/>
                <w:lang w:val="en-US"/>
              </w:rPr>
            </w:pPr>
            <w:r w:rsidRPr="00BD00C1">
              <w:rPr>
                <w:rFonts w:cs="Arial"/>
                <w:color w:val="000000" w:themeColor="text1"/>
              </w:rPr>
              <w:lastRenderedPageBreak/>
              <w:t>“</w:t>
            </w:r>
            <w:r w:rsidRPr="00BD00C1">
              <w:rPr>
                <w:color w:val="000000" w:themeColor="text1"/>
                <w:lang w:val="en-US"/>
              </w:rPr>
              <w:t>Art making can enable us to listen to our inner thoughts and feelings, which we can quite often choose to hide away or ignore. Developing a sense of focus and understanding of these processes are as much challenges of understanding our true nature and questions of psychological wellbeing as they are of art making</w:t>
            </w:r>
            <w:r w:rsidRPr="00BD00C1">
              <w:rPr>
                <w:color w:val="000000" w:themeColor="text1"/>
                <w:lang w:val="en-US"/>
              </w:rPr>
              <w:t xml:space="preserve"> […] </w:t>
            </w:r>
            <w:r w:rsidRPr="00BD00C1">
              <w:rPr>
                <w:color w:val="000000" w:themeColor="text1"/>
                <w:lang w:val="en-US"/>
              </w:rPr>
              <w:t xml:space="preserve">In addition to finding solutions, art can also help us to tell our stories, and this process can often provide us with a </w:t>
            </w:r>
            <w:proofErr w:type="gramStart"/>
            <w:r w:rsidRPr="00BD00C1">
              <w:rPr>
                <w:color w:val="000000" w:themeColor="text1"/>
                <w:lang w:val="en-US"/>
              </w:rPr>
              <w:t>much needed</w:t>
            </w:r>
            <w:proofErr w:type="gramEnd"/>
            <w:r w:rsidRPr="00BD00C1">
              <w:rPr>
                <w:color w:val="000000" w:themeColor="text1"/>
                <w:lang w:val="en-US"/>
              </w:rPr>
              <w:t xml:space="preserve"> healing. Perhaps some things that we experience just cannot put into words and are better told through drawing, painting, dancing or music?</w:t>
            </w:r>
            <w:r w:rsidRPr="00BD00C1">
              <w:rPr>
                <w:color w:val="000000" w:themeColor="text1"/>
                <w:lang w:val="en-US"/>
              </w:rPr>
              <w:t xml:space="preserve">” </w:t>
            </w:r>
            <w:hyperlink r:id="rId14" w:history="1">
              <w:r w:rsidRPr="00BD00C1">
                <w:rPr>
                  <w:rStyle w:val="Hyperlink"/>
                  <w:color w:val="000000" w:themeColor="text1"/>
                  <w:lang w:val="en-US"/>
                </w:rPr>
                <w:t>https://www.culturehealthandwellbeing.org.uk/news/blog/sue-flowers-creative-perspective</w:t>
              </w:r>
            </w:hyperlink>
            <w:r w:rsidRPr="00BD00C1">
              <w:rPr>
                <w:color w:val="000000" w:themeColor="text1"/>
                <w:lang w:val="en-US"/>
              </w:rPr>
              <w:t xml:space="preserve"> </w:t>
            </w:r>
          </w:p>
          <w:p w14:paraId="57872B48" w14:textId="4157B052" w:rsidR="00B10662" w:rsidRPr="00BD00C1" w:rsidRDefault="00B10662" w:rsidP="00B10662">
            <w:pPr>
              <w:rPr>
                <w:rFonts w:ascii="Times New Roman" w:hAnsi="Times New Roman"/>
                <w:color w:val="000000" w:themeColor="text1"/>
                <w:sz w:val="24"/>
                <w:lang w:eastAsia="zh-CN"/>
              </w:rPr>
            </w:pPr>
          </w:p>
        </w:tc>
      </w:tr>
      <w:tr w:rsidR="009F7B40" w:rsidRPr="006B094C" w14:paraId="5CA42092" w14:textId="77777777" w:rsidTr="00BC7076">
        <w:tc>
          <w:tcPr>
            <w:tcW w:w="442" w:type="pct"/>
          </w:tcPr>
          <w:p w14:paraId="66B4FE4E" w14:textId="13B62953" w:rsidR="009F7B40" w:rsidRPr="00ED43FE" w:rsidRDefault="009F7B40" w:rsidP="009F7B40">
            <w:pPr>
              <w:spacing w:after="240"/>
              <w:jc w:val="center"/>
              <w:rPr>
                <w:rFonts w:cs="Arial"/>
                <w:b/>
                <w:szCs w:val="22"/>
              </w:rPr>
            </w:pPr>
            <w:r w:rsidRPr="00ED43FE">
              <w:rPr>
                <w:rFonts w:cs="Arial"/>
                <w:b/>
                <w:szCs w:val="22"/>
              </w:rPr>
              <w:lastRenderedPageBreak/>
              <w:t>13</w:t>
            </w:r>
          </w:p>
        </w:tc>
        <w:tc>
          <w:tcPr>
            <w:tcW w:w="424" w:type="pct"/>
          </w:tcPr>
          <w:p w14:paraId="488CD50C" w14:textId="2C58531E" w:rsidR="009F7B40" w:rsidRPr="006B094C" w:rsidRDefault="00654BC9" w:rsidP="009F7B40">
            <w:pPr>
              <w:spacing w:after="240"/>
              <w:rPr>
                <w:rFonts w:cs="Arial"/>
                <w:szCs w:val="22"/>
              </w:rPr>
            </w:pPr>
            <w:r w:rsidRPr="00ED43FE">
              <w:rPr>
                <w:rFonts w:cs="Arial"/>
              </w:rPr>
              <w:t>Guideline</w:t>
            </w:r>
          </w:p>
        </w:tc>
        <w:tc>
          <w:tcPr>
            <w:tcW w:w="367" w:type="pct"/>
          </w:tcPr>
          <w:p w14:paraId="5DD5F79D" w14:textId="77777777" w:rsidR="009F7B40" w:rsidRPr="006B094C" w:rsidRDefault="009F7B40" w:rsidP="009F7B40">
            <w:pPr>
              <w:spacing w:after="240"/>
              <w:rPr>
                <w:rFonts w:cs="Arial"/>
                <w:szCs w:val="22"/>
              </w:rPr>
            </w:pPr>
            <w:r>
              <w:rPr>
                <w:rFonts w:cs="Arial"/>
              </w:rPr>
              <w:t>52</w:t>
            </w:r>
          </w:p>
        </w:tc>
        <w:tc>
          <w:tcPr>
            <w:tcW w:w="392" w:type="pct"/>
          </w:tcPr>
          <w:p w14:paraId="74891C19" w14:textId="7A4D5110" w:rsidR="009F7B40" w:rsidRPr="006B094C" w:rsidRDefault="009F7B40" w:rsidP="009F7B40">
            <w:pPr>
              <w:spacing w:after="240"/>
              <w:rPr>
                <w:rFonts w:cs="Arial"/>
                <w:szCs w:val="22"/>
              </w:rPr>
            </w:pPr>
            <w:r>
              <w:rPr>
                <w:rFonts w:cs="Arial"/>
              </w:rPr>
              <w:t>20</w:t>
            </w:r>
            <w:r w:rsidR="00A41ADC">
              <w:rPr>
                <w:rFonts w:cs="Arial"/>
              </w:rPr>
              <w:t>-26</w:t>
            </w:r>
          </w:p>
        </w:tc>
        <w:tc>
          <w:tcPr>
            <w:tcW w:w="3375" w:type="pct"/>
          </w:tcPr>
          <w:p w14:paraId="4B07D1A9" w14:textId="48E9B267" w:rsidR="009F7B40" w:rsidRDefault="009F7B40" w:rsidP="009F7B40">
            <w:pPr>
              <w:spacing w:after="240" w:line="276" w:lineRule="auto"/>
            </w:pPr>
            <w:r w:rsidRPr="00C42C27">
              <w:rPr>
                <w:b/>
              </w:rPr>
              <w:t>Social interventions</w:t>
            </w:r>
            <w:r>
              <w:t>. “…as well as community services (for example social care, education and housing). This should include: […] social interventions”.</w:t>
            </w:r>
          </w:p>
          <w:p w14:paraId="06030D80" w14:textId="614E81A2" w:rsidR="009F7B40" w:rsidRDefault="009F7B40" w:rsidP="009F7B40">
            <w:pPr>
              <w:spacing w:after="240" w:line="276" w:lineRule="auto"/>
            </w:pPr>
            <w:r>
              <w:t xml:space="preserve">‘Social interventions’ </w:t>
            </w:r>
            <w:r w:rsidR="00A15B95">
              <w:t xml:space="preserve">needs </w:t>
            </w:r>
            <w:r>
              <w:t xml:space="preserve">more attention throughout. While such interventions rely on a broader range of evidence types compared with more clinical interventions, which more often rely on RCT-type evidence, the fact that these are acknowledged here is </w:t>
            </w:r>
            <w:r w:rsidR="00A15B95">
              <w:t>positive and noteworthy</w:t>
            </w:r>
            <w:r>
              <w:t>.</w:t>
            </w:r>
          </w:p>
          <w:p w14:paraId="3E299774" w14:textId="4FF1B297" w:rsidR="009F7B40" w:rsidRPr="00C42C27" w:rsidRDefault="009F7B40" w:rsidP="009F7B40">
            <w:pPr>
              <w:spacing w:after="240" w:line="276" w:lineRule="auto"/>
              <w:rPr>
                <w:rFonts w:cstheme="minorBidi"/>
                <w:szCs w:val="22"/>
              </w:rPr>
            </w:pPr>
            <w:r>
              <w:t xml:space="preserve">Social interventions may include community-based creative, cultural, nature- or heritage-related activities. An infrastructure is being developed to enable </w:t>
            </w:r>
            <w:r w:rsidRPr="00CB4A41">
              <w:rPr>
                <w:b/>
                <w:bCs/>
              </w:rPr>
              <w:t>social prescribing</w:t>
            </w:r>
            <w:r>
              <w:t xml:space="preserve"> to signpost these types of resource and this option should have more prominence in the guidelines.</w:t>
            </w:r>
          </w:p>
        </w:tc>
      </w:tr>
    </w:tbl>
    <w:p w14:paraId="703F9178" w14:textId="6BD17AAB" w:rsidR="00EF2ACA" w:rsidRDefault="00661D47" w:rsidP="00661D47">
      <w:pPr>
        <w:rPr>
          <w:sz w:val="16"/>
          <w:szCs w:val="16"/>
        </w:rPr>
      </w:pPr>
      <w:r>
        <w:rPr>
          <w:sz w:val="16"/>
          <w:szCs w:val="16"/>
        </w:rPr>
        <w:t>Insert extra rows as needed</w:t>
      </w:r>
    </w:p>
    <w:p w14:paraId="0DF1C056" w14:textId="7CD5BDD8" w:rsidR="00A4033C" w:rsidRDefault="00A4033C" w:rsidP="00661D47">
      <w:pPr>
        <w:rPr>
          <w:szCs w:val="22"/>
        </w:rPr>
      </w:pPr>
    </w:p>
    <w:p w14:paraId="2EE10367" w14:textId="77777777" w:rsidR="000574FE" w:rsidRPr="000574FE" w:rsidRDefault="000574FE" w:rsidP="00661D47">
      <w:pPr>
        <w:rPr>
          <w:szCs w:val="22"/>
        </w:rPr>
      </w:pPr>
    </w:p>
    <w:p w14:paraId="583ED578" w14:textId="69E87CF2" w:rsidR="003F6C97" w:rsidRPr="00B81DC8" w:rsidRDefault="00EF2ACA" w:rsidP="00EF2ACA">
      <w:pPr>
        <w:rPr>
          <w:rFonts w:cs="Arial"/>
          <w:sz w:val="20"/>
        </w:rPr>
      </w:pPr>
      <w:r>
        <w:rPr>
          <w:noProof/>
          <w:lang w:eastAsia="en-GB"/>
        </w:rPr>
        <mc:AlternateContent>
          <mc:Choice Requires="wps">
            <w:drawing>
              <wp:anchor distT="0" distB="0" distL="114300" distR="114300" simplePos="0" relativeHeight="251659264" behindDoc="1" locked="0" layoutInCell="1" allowOverlap="1" wp14:anchorId="2D18926F" wp14:editId="32735B9B">
                <wp:simplePos x="0" y="0"/>
                <wp:positionH relativeFrom="column">
                  <wp:posOffset>1905</wp:posOffset>
                </wp:positionH>
                <wp:positionV relativeFrom="paragraph">
                  <wp:posOffset>1270</wp:posOffset>
                </wp:positionV>
                <wp:extent cx="1828800" cy="1828800"/>
                <wp:effectExtent l="0" t="0" r="26670" b="23495"/>
                <wp:wrapTight wrapText="bothSides">
                  <wp:wrapPolygon edited="0">
                    <wp:start x="0" y="0"/>
                    <wp:lineTo x="0" y="21650"/>
                    <wp:lineTo x="21617" y="21650"/>
                    <wp:lineTo x="21617"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56CDE21" w14:textId="77777777" w:rsidR="00EF2ACA" w:rsidRPr="006B094C" w:rsidRDefault="00EF2ACA" w:rsidP="00EF2ACA">
                            <w:pPr>
                              <w:rPr>
                                <w:i/>
                                <w:sz w:val="20"/>
                              </w:rPr>
                            </w:pPr>
                            <w:r w:rsidRPr="006B094C">
                              <w:rPr>
                                <w:rStyle w:val="Emphasis"/>
                                <w:rFonts w:cs="Arial"/>
                                <w:b/>
                                <w:i w:val="0"/>
                                <w:sz w:val="20"/>
                              </w:rPr>
                              <w:t>Data protection</w:t>
                            </w:r>
                          </w:p>
                          <w:p w14:paraId="4C928768" w14:textId="77777777" w:rsidR="00EF2ACA" w:rsidRPr="006B094C" w:rsidRDefault="00EF2ACA" w:rsidP="00EF2ACA">
                            <w:pPr>
                              <w:rPr>
                                <w:rStyle w:val="Emphasis"/>
                                <w:rFonts w:cs="Arial"/>
                                <w:i w:val="0"/>
                                <w:sz w:val="20"/>
                              </w:rPr>
                            </w:pPr>
                            <w:r w:rsidRPr="006B094C">
                              <w:rPr>
                                <w:rStyle w:val="Emphasis"/>
                                <w:rFonts w:cs="Arial"/>
                                <w:i w:val="0"/>
                                <w:sz w:val="20"/>
                              </w:rPr>
                              <w:t>The information you submit on this form will be retained and used by NICE and its advisers for the purpose of developing its guidance and may be passed to other approved third parties.</w:t>
                            </w:r>
                            <w:r w:rsidRPr="006B094C">
                              <w:rPr>
                                <w:i/>
                                <w:sz w:val="20"/>
                              </w:rPr>
                              <w:t xml:space="preserve"> </w:t>
                            </w:r>
                            <w:r w:rsidRPr="006B094C">
                              <w:rPr>
                                <w:rStyle w:val="Emphasis"/>
                                <w:rFonts w:cs="Arial"/>
                                <w:i w:val="0"/>
                                <w:sz w:val="20"/>
                              </w:rPr>
                              <w:t xml:space="preserve">Please do not name or identify any individual patient or refer to their medical condition in your comments as all such data will be deleted </w:t>
                            </w:r>
                            <w:r w:rsidRPr="006B094C">
                              <w:rPr>
                                <w:rStyle w:val="Emphasis"/>
                                <w:rFonts w:cs="Arial"/>
                                <w:i w:val="0"/>
                                <w:iCs w:val="0"/>
                                <w:sz w:val="20"/>
                              </w:rPr>
                              <w:t>or redacted</w:t>
                            </w:r>
                            <w:r w:rsidRPr="006B094C">
                              <w:rPr>
                                <w:rStyle w:val="Emphasis"/>
                                <w:rFonts w:cs="Arial"/>
                                <w:i w:val="0"/>
                                <w:sz w:val="20"/>
                              </w:rPr>
                              <w:t>. The information may appear on the NICE website in due course in which case all personal data will be removed in accordance with NICE policies.</w:t>
                            </w:r>
                          </w:p>
                          <w:p w14:paraId="2C617E71" w14:textId="77777777" w:rsidR="00EF2ACA" w:rsidRPr="006B094C" w:rsidRDefault="00EF2ACA" w:rsidP="00EF2ACA">
                            <w:pPr>
                              <w:rPr>
                                <w:rStyle w:val="Emphasis"/>
                                <w:rFonts w:cs="Arial"/>
                                <w:i w:val="0"/>
                                <w:sz w:val="20"/>
                              </w:rPr>
                            </w:pPr>
                          </w:p>
                          <w:p w14:paraId="333C90D7" w14:textId="77777777" w:rsidR="00EF2ACA" w:rsidRPr="006B094C" w:rsidRDefault="00EF2ACA" w:rsidP="00EF2ACA">
                            <w:pPr>
                              <w:rPr>
                                <w:rStyle w:val="Emphasis"/>
                                <w:rFonts w:cs="Arial"/>
                                <w:i w:val="0"/>
                                <w:sz w:val="20"/>
                              </w:rPr>
                            </w:pPr>
                            <w:r w:rsidRPr="006B094C">
                              <w:rPr>
                                <w:rStyle w:val="Emphasis"/>
                                <w:rFonts w:cs="Arial"/>
                                <w:i w:val="0"/>
                                <w:sz w:val="20"/>
                              </w:rPr>
                              <w:t>By submitting your data via this form you are confirming that you have read and understood this statement.</w:t>
                            </w:r>
                          </w:p>
                          <w:p w14:paraId="358D4F23" w14:textId="77777777" w:rsidR="00EF2ACA" w:rsidRPr="006B094C" w:rsidRDefault="00EF2ACA" w:rsidP="00EF2ACA">
                            <w:pPr>
                              <w:rPr>
                                <w:rStyle w:val="Emphasis"/>
                                <w:rFonts w:cs="Arial"/>
                                <w:sz w:val="20"/>
                              </w:rPr>
                            </w:pPr>
                          </w:p>
                          <w:p w14:paraId="0921D30D" w14:textId="77777777" w:rsidR="00EF2ACA" w:rsidRPr="006B094C" w:rsidRDefault="00EF2ACA" w:rsidP="00EF2ACA">
                            <w:pPr>
                              <w:rPr>
                                <w:bCs/>
                                <w:sz w:val="20"/>
                              </w:rPr>
                            </w:pPr>
                            <w:r w:rsidRPr="006B094C">
                              <w:rPr>
                                <w:bCs/>
                                <w:sz w:val="20"/>
                              </w:rPr>
                              <w:t xml:space="preserve">For more information about how we process your data, please see our </w:t>
                            </w:r>
                            <w:hyperlink r:id="rId15" w:history="1">
                              <w:r w:rsidRPr="006B094C">
                                <w:rPr>
                                  <w:rStyle w:val="Hyperlink"/>
                                  <w:rFonts w:cs="Arial"/>
                                  <w:bCs/>
                                  <w:sz w:val="20"/>
                                </w:rPr>
                                <w:t>privacy notice</w:t>
                              </w:r>
                            </w:hyperlink>
                            <w:r w:rsidRPr="006B094C">
                              <w:rPr>
                                <w:bCs/>
                                <w:sz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D18926F" id="_x0000_t202" coordsize="21600,21600" o:spt="202" path="m,l,21600r21600,l21600,xe">
                <v:stroke joinstyle="miter"/>
                <v:path gradientshapeok="t" o:connecttype="rect"/>
              </v:shapetype>
              <v:shape id="Text Box 2" o:spid="_x0000_s1026" type="#_x0000_t202" style="position:absolute;margin-left:.15pt;margin-top:.1pt;width:2in;height:2in;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" filled="f" strokeweight=".5pt">
                <v:textbox style="mso-fit-shape-to-text:t">
                  <w:txbxContent>
                    <w:p w14:paraId="556CDE21" w14:textId="77777777" w:rsidR="00EF2ACA" w:rsidRPr="006B094C" w:rsidRDefault="00EF2ACA" w:rsidP="00EF2ACA">
                      <w:pPr>
                        <w:rPr>
                          <w:i/>
                          <w:sz w:val="20"/>
                        </w:rPr>
                      </w:pPr>
                      <w:r w:rsidRPr="006B094C">
                        <w:rPr>
                          <w:rStyle w:val="Emphasis"/>
                          <w:rFonts w:cs="Arial"/>
                          <w:b/>
                          <w:i w:val="0"/>
                          <w:sz w:val="20"/>
                        </w:rPr>
                        <w:t>Data protection</w:t>
                      </w:r>
                    </w:p>
                    <w:p w14:paraId="4C928768" w14:textId="77777777" w:rsidR="00EF2ACA" w:rsidRPr="006B094C" w:rsidRDefault="00EF2ACA" w:rsidP="00EF2ACA">
                      <w:pPr>
                        <w:rPr>
                          <w:rStyle w:val="Emphasis"/>
                          <w:rFonts w:cs="Arial"/>
                          <w:i w:val="0"/>
                          <w:sz w:val="20"/>
                        </w:rPr>
                      </w:pPr>
                      <w:r w:rsidRPr="006B094C">
                        <w:rPr>
                          <w:rStyle w:val="Emphasis"/>
                          <w:rFonts w:cs="Arial"/>
                          <w:i w:val="0"/>
                          <w:sz w:val="20"/>
                        </w:rPr>
                        <w:t>The information you submit on this form will be retained and used by NICE and its advisers for the purpose of developing its guidance and may be passed to other approved third parties.</w:t>
                      </w:r>
                      <w:r w:rsidRPr="006B094C">
                        <w:rPr>
                          <w:i/>
                          <w:sz w:val="20"/>
                        </w:rPr>
                        <w:t xml:space="preserve"> </w:t>
                      </w:r>
                      <w:r w:rsidRPr="006B094C">
                        <w:rPr>
                          <w:rStyle w:val="Emphasis"/>
                          <w:rFonts w:cs="Arial"/>
                          <w:i w:val="0"/>
                          <w:sz w:val="20"/>
                        </w:rPr>
                        <w:t xml:space="preserve">Please do not name or identify any individual patient or refer to their medical condition in your comments as all such data will be deleted </w:t>
                      </w:r>
                      <w:r w:rsidRPr="006B094C">
                        <w:rPr>
                          <w:rStyle w:val="Emphasis"/>
                          <w:rFonts w:cs="Arial"/>
                          <w:i w:val="0"/>
                          <w:iCs w:val="0"/>
                          <w:sz w:val="20"/>
                        </w:rPr>
                        <w:t>or redacted</w:t>
                      </w:r>
                      <w:r w:rsidRPr="006B094C">
                        <w:rPr>
                          <w:rStyle w:val="Emphasis"/>
                          <w:rFonts w:cs="Arial"/>
                          <w:i w:val="0"/>
                          <w:sz w:val="20"/>
                        </w:rPr>
                        <w:t>. The information may appear on the NICE website in due course in which case all personal data will be removed in accordance with NICE policies.</w:t>
                      </w:r>
                    </w:p>
                    <w:p w14:paraId="2C617E71" w14:textId="77777777" w:rsidR="00EF2ACA" w:rsidRPr="006B094C" w:rsidRDefault="00EF2ACA" w:rsidP="00EF2ACA">
                      <w:pPr>
                        <w:rPr>
                          <w:rStyle w:val="Emphasis"/>
                          <w:rFonts w:cs="Arial"/>
                          <w:i w:val="0"/>
                          <w:sz w:val="20"/>
                        </w:rPr>
                      </w:pPr>
                    </w:p>
                    <w:p w14:paraId="333C90D7" w14:textId="77777777" w:rsidR="00EF2ACA" w:rsidRPr="006B094C" w:rsidRDefault="00EF2ACA" w:rsidP="00EF2ACA">
                      <w:pPr>
                        <w:rPr>
                          <w:rStyle w:val="Emphasis"/>
                          <w:rFonts w:cs="Arial"/>
                          <w:i w:val="0"/>
                          <w:sz w:val="20"/>
                        </w:rPr>
                      </w:pPr>
                      <w:r w:rsidRPr="006B094C">
                        <w:rPr>
                          <w:rStyle w:val="Emphasis"/>
                          <w:rFonts w:cs="Arial"/>
                          <w:i w:val="0"/>
                          <w:sz w:val="20"/>
                        </w:rPr>
                        <w:t xml:space="preserve">By submitting your data via this </w:t>
                      </w:r>
                      <w:proofErr w:type="gramStart"/>
                      <w:r w:rsidRPr="006B094C">
                        <w:rPr>
                          <w:rStyle w:val="Emphasis"/>
                          <w:rFonts w:cs="Arial"/>
                          <w:i w:val="0"/>
                          <w:sz w:val="20"/>
                        </w:rPr>
                        <w:t>form</w:t>
                      </w:r>
                      <w:proofErr w:type="gramEnd"/>
                      <w:r w:rsidRPr="006B094C">
                        <w:rPr>
                          <w:rStyle w:val="Emphasis"/>
                          <w:rFonts w:cs="Arial"/>
                          <w:i w:val="0"/>
                          <w:sz w:val="20"/>
                        </w:rPr>
                        <w:t xml:space="preserve"> you are confirming that you have read and understood this statement.</w:t>
                      </w:r>
                    </w:p>
                    <w:p w14:paraId="358D4F23" w14:textId="77777777" w:rsidR="00EF2ACA" w:rsidRPr="006B094C" w:rsidRDefault="00EF2ACA" w:rsidP="00EF2ACA">
                      <w:pPr>
                        <w:rPr>
                          <w:rStyle w:val="Emphasis"/>
                          <w:rFonts w:cs="Arial"/>
                          <w:sz w:val="20"/>
                        </w:rPr>
                      </w:pPr>
                    </w:p>
                    <w:p w14:paraId="0921D30D" w14:textId="77777777" w:rsidR="00EF2ACA" w:rsidRPr="006B094C" w:rsidRDefault="00EF2ACA" w:rsidP="00EF2ACA">
                      <w:pPr>
                        <w:rPr>
                          <w:bCs/>
                          <w:sz w:val="20"/>
                        </w:rPr>
                      </w:pPr>
                      <w:r w:rsidRPr="006B094C">
                        <w:rPr>
                          <w:bCs/>
                          <w:sz w:val="20"/>
                        </w:rPr>
                        <w:t xml:space="preserve">For more information about how we process your data, please see our </w:t>
                      </w:r>
                      <w:hyperlink r:id="rId16" w:history="1">
                        <w:r w:rsidRPr="006B094C">
                          <w:rPr>
                            <w:rStyle w:val="Hyperlink"/>
                            <w:rFonts w:cs="Arial"/>
                            <w:bCs/>
                            <w:sz w:val="20"/>
                          </w:rPr>
                          <w:t>privacy notice</w:t>
                        </w:r>
                      </w:hyperlink>
                      <w:r w:rsidRPr="006B094C">
                        <w:rPr>
                          <w:bCs/>
                          <w:sz w:val="20"/>
                        </w:rPr>
                        <w:t>.</w:t>
                      </w:r>
                    </w:p>
                  </w:txbxContent>
                </v:textbox>
                <w10:wrap type="tight"/>
              </v:shape>
            </w:pict>
          </mc:Fallback>
        </mc:AlternateContent>
      </w:r>
    </w:p>
    <w:sectPr w:rsidR="003F6C97" w:rsidRPr="00B81DC8" w:rsidSect="00EF2ACA">
      <w:headerReference w:type="default" r:id="rId17"/>
      <w:footerReference w:type="default" r:id="rId18"/>
      <w:pgSz w:w="16838" w:h="11906" w:orient="landscape" w:code="9"/>
      <w:pgMar w:top="851" w:right="851" w:bottom="851" w:left="709" w:header="720" w:footer="5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083AA" w14:textId="77777777" w:rsidR="00AD7C60" w:rsidRDefault="00AD7C60">
      <w:r>
        <w:separator/>
      </w:r>
    </w:p>
  </w:endnote>
  <w:endnote w:type="continuationSeparator" w:id="0">
    <w:p w14:paraId="5CFEB3B1" w14:textId="77777777" w:rsidR="00AD7C60" w:rsidRDefault="00AD7C60">
      <w:r>
        <w:continuationSeparator/>
      </w:r>
    </w:p>
  </w:endnote>
  <w:endnote w:type="continuationNotice" w:id="1">
    <w:p w14:paraId="6B152982" w14:textId="77777777" w:rsidR="00AD7C60" w:rsidRDefault="00AD7C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7222A" w14:textId="77777777" w:rsidR="00EE6C88" w:rsidRDefault="00EE6C88" w:rsidP="00EE6C88">
    <w:pPr>
      <w:tabs>
        <w:tab w:val="left" w:pos="5565"/>
      </w:tabs>
      <w:rPr>
        <w:sz w:val="18"/>
      </w:rPr>
    </w:pPr>
    <w:r>
      <w:rPr>
        <w:sz w:val="18"/>
      </w:rPr>
      <w:tab/>
    </w:r>
  </w:p>
  <w:p w14:paraId="20266852" w14:textId="11B2EB08" w:rsidR="00EE6C88" w:rsidRDefault="00EE6C88" w:rsidP="00EE6C88">
    <w:pPr>
      <w:rPr>
        <w:b/>
      </w:rPr>
    </w:pPr>
    <w:r>
      <w:rPr>
        <w:szCs w:val="22"/>
      </w:rPr>
      <w:t>Please return to:</w:t>
    </w:r>
    <w:r>
      <w:t xml:space="preserve"> </w:t>
    </w:r>
    <w:hyperlink r:id="rId1" w:history="1">
      <w:r w:rsidR="009667BE" w:rsidRPr="009B5332">
        <w:rPr>
          <w:rStyle w:val="Hyperlink"/>
          <w:b/>
          <w:bCs/>
        </w:rPr>
        <w:t>DepressionInAdultsUpdate@nice.org.uk</w:t>
      </w:r>
    </w:hyperlink>
    <w:r w:rsidR="009667BE">
      <w:rPr>
        <w:b/>
        <w:bCs/>
      </w:rPr>
      <w:t xml:space="preserve"> </w:t>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422CF" w14:textId="77777777" w:rsidR="00AD7C60" w:rsidRDefault="00AD7C60">
      <w:r>
        <w:separator/>
      </w:r>
    </w:p>
  </w:footnote>
  <w:footnote w:type="continuationSeparator" w:id="0">
    <w:p w14:paraId="4D957645" w14:textId="77777777" w:rsidR="00AD7C60" w:rsidRDefault="00AD7C60">
      <w:r>
        <w:continuationSeparator/>
      </w:r>
    </w:p>
  </w:footnote>
  <w:footnote w:type="continuationNotice" w:id="1">
    <w:p w14:paraId="2E4B01F1" w14:textId="77777777" w:rsidR="00AD7C60" w:rsidRDefault="00AD7C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CA3A2" w14:textId="5D374AC3" w:rsidR="007968D4" w:rsidRPr="008039AA" w:rsidRDefault="00132B3B" w:rsidP="003F6C97">
    <w:pPr>
      <w:pStyle w:val="Heading3"/>
      <w:jc w:val="left"/>
      <w:rPr>
        <w:bCs w:val="0"/>
        <w:sz w:val="28"/>
        <w:szCs w:val="28"/>
      </w:rPr>
    </w:pPr>
    <w:r w:rsidRPr="00E53E36">
      <w:rPr>
        <w:noProof/>
        <w:lang w:eastAsia="en-GB"/>
      </w:rPr>
      <w:drawing>
        <wp:anchor distT="0" distB="0" distL="114300" distR="114300" simplePos="0" relativeHeight="251658240" behindDoc="0" locked="0" layoutInCell="1" allowOverlap="1" wp14:anchorId="0D350187" wp14:editId="0FF03A29">
          <wp:simplePos x="0" y="0"/>
          <wp:positionH relativeFrom="column">
            <wp:posOffset>6738066</wp:posOffset>
          </wp:positionH>
          <wp:positionV relativeFrom="paragraph">
            <wp:posOffset>-113250</wp:posOffset>
          </wp:positionV>
          <wp:extent cx="2971800" cy="3048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anchor>
      </w:drawing>
    </w:r>
    <w:r w:rsidR="009667BE" w:rsidRPr="009667BE">
      <w:rPr>
        <w:bCs w:val="0"/>
        <w:szCs w:val="28"/>
      </w:rPr>
      <w:t xml:space="preserve"> </w:t>
    </w:r>
    <w:r w:rsidR="009667BE" w:rsidRPr="000F2981">
      <w:rPr>
        <w:bCs w:val="0"/>
        <w:szCs w:val="28"/>
      </w:rPr>
      <w:t>Depression in adults: treatment and management</w:t>
    </w:r>
    <w:r w:rsidR="009667BE" w:rsidRPr="001E1D2C">
      <w:rPr>
        <w:bCs w:val="0"/>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p>
  <w:p w14:paraId="6F6E5D02" w14:textId="77777777" w:rsidR="007968D4" w:rsidRPr="00937F34" w:rsidRDefault="007968D4" w:rsidP="007968D4">
    <w:pPr>
      <w:pStyle w:val="Header"/>
      <w:jc w:val="center"/>
      <w:rPr>
        <w:b/>
        <w:bCs/>
      </w:rPr>
    </w:pPr>
  </w:p>
  <w:p w14:paraId="77F309CA" w14:textId="311302A4" w:rsidR="007968D4" w:rsidRPr="008039AA" w:rsidRDefault="007968D4" w:rsidP="003F6C97">
    <w:pPr>
      <w:pStyle w:val="Heading3"/>
      <w:jc w:val="left"/>
    </w:pPr>
    <w:r w:rsidRPr="008039AA">
      <w:rPr>
        <w:rFonts w:cs="Arial"/>
        <w:bCs w:val="0"/>
      </w:rPr>
      <w:t xml:space="preserve">Consultation on </w:t>
    </w:r>
    <w:r w:rsidR="00966357">
      <w:rPr>
        <w:rFonts w:cs="Arial"/>
        <w:bCs w:val="0"/>
      </w:rPr>
      <w:t>d</w:t>
    </w:r>
    <w:r w:rsidRPr="008039AA">
      <w:rPr>
        <w:rFonts w:cs="Arial"/>
        <w:bCs w:val="0"/>
      </w:rPr>
      <w:t xml:space="preserve">raft </w:t>
    </w:r>
    <w:r w:rsidR="00966357">
      <w:rPr>
        <w:rFonts w:cs="Arial"/>
        <w:bCs w:val="0"/>
      </w:rPr>
      <w:t>g</w:t>
    </w:r>
    <w:r w:rsidR="00624222" w:rsidRPr="008039AA">
      <w:rPr>
        <w:rFonts w:cs="Arial"/>
        <w:bCs w:val="0"/>
      </w:rPr>
      <w:t>uideline</w:t>
    </w:r>
    <w:r w:rsidR="008039AA" w:rsidRPr="008039AA">
      <w:rPr>
        <w:rFonts w:cs="Arial"/>
        <w:bCs w:val="0"/>
      </w:rPr>
      <w:t xml:space="preserve"> </w:t>
    </w:r>
    <w:r w:rsidR="00246154">
      <w:rPr>
        <w:rFonts w:cs="Arial"/>
        <w:bCs w:val="0"/>
      </w:rPr>
      <w:t>–</w:t>
    </w:r>
    <w:r w:rsidR="008039AA">
      <w:rPr>
        <w:rFonts w:cs="Arial"/>
        <w:b w:val="0"/>
        <w:bCs w:val="0"/>
      </w:rPr>
      <w:t xml:space="preserve"> </w:t>
    </w:r>
    <w:r w:rsidR="00246154">
      <w:t>deadline for commen</w:t>
    </w:r>
    <w:r w:rsidR="001E1D2C">
      <w:t xml:space="preserve">ts </w:t>
    </w:r>
    <w:r w:rsidR="009667BE" w:rsidRPr="009667BE">
      <w:t xml:space="preserve">5pm, 12 January 2022 email: </w:t>
    </w:r>
    <w:hyperlink r:id="rId2" w:history="1">
      <w:r w:rsidR="009667BE" w:rsidRPr="009B5332">
        <w:rPr>
          <w:rStyle w:val="Hyperlink"/>
        </w:rPr>
        <w:t>DepressionInAdultsUpdate@nice.org.uk</w:t>
      </w:r>
    </w:hyperlink>
    <w:r w:rsidR="009667BE">
      <w:t xml:space="preserve"> </w:t>
    </w:r>
  </w:p>
  <w:p w14:paraId="41CB7229" w14:textId="77777777" w:rsidR="007968D4" w:rsidRDefault="00796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52FC8"/>
    <w:multiLevelType w:val="hybridMultilevel"/>
    <w:tmpl w:val="78B08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DA79A9"/>
    <w:multiLevelType w:val="hybridMultilevel"/>
    <w:tmpl w:val="1C402A88"/>
    <w:lvl w:ilvl="0" w:tplc="CFEAC512">
      <w:start w:val="1"/>
      <w:numFmt w:val="decimal"/>
      <w:lvlText w:val="%1."/>
      <w:lvlJc w:val="left"/>
      <w:pPr>
        <w:tabs>
          <w:tab w:val="num" w:pos="720"/>
        </w:tabs>
        <w:ind w:left="720" w:hanging="360"/>
      </w:pPr>
    </w:lvl>
    <w:lvl w:ilvl="1" w:tplc="CAE8E172" w:tentative="1">
      <w:start w:val="1"/>
      <w:numFmt w:val="lowerLetter"/>
      <w:lvlText w:val="%2."/>
      <w:lvlJc w:val="left"/>
      <w:pPr>
        <w:tabs>
          <w:tab w:val="num" w:pos="1440"/>
        </w:tabs>
        <w:ind w:left="1440" w:hanging="360"/>
      </w:pPr>
    </w:lvl>
    <w:lvl w:ilvl="2" w:tplc="93D8448E" w:tentative="1">
      <w:start w:val="1"/>
      <w:numFmt w:val="lowerRoman"/>
      <w:lvlText w:val="%3."/>
      <w:lvlJc w:val="right"/>
      <w:pPr>
        <w:tabs>
          <w:tab w:val="num" w:pos="2160"/>
        </w:tabs>
        <w:ind w:left="2160" w:hanging="180"/>
      </w:pPr>
    </w:lvl>
    <w:lvl w:ilvl="3" w:tplc="4A4CCD18" w:tentative="1">
      <w:start w:val="1"/>
      <w:numFmt w:val="decimal"/>
      <w:lvlText w:val="%4."/>
      <w:lvlJc w:val="left"/>
      <w:pPr>
        <w:tabs>
          <w:tab w:val="num" w:pos="2880"/>
        </w:tabs>
        <w:ind w:left="2880" w:hanging="360"/>
      </w:pPr>
    </w:lvl>
    <w:lvl w:ilvl="4" w:tplc="CFBE2440" w:tentative="1">
      <w:start w:val="1"/>
      <w:numFmt w:val="lowerLetter"/>
      <w:lvlText w:val="%5."/>
      <w:lvlJc w:val="left"/>
      <w:pPr>
        <w:tabs>
          <w:tab w:val="num" w:pos="3600"/>
        </w:tabs>
        <w:ind w:left="3600" w:hanging="360"/>
      </w:pPr>
    </w:lvl>
    <w:lvl w:ilvl="5" w:tplc="2526A6A4" w:tentative="1">
      <w:start w:val="1"/>
      <w:numFmt w:val="lowerRoman"/>
      <w:lvlText w:val="%6."/>
      <w:lvlJc w:val="right"/>
      <w:pPr>
        <w:tabs>
          <w:tab w:val="num" w:pos="4320"/>
        </w:tabs>
        <w:ind w:left="4320" w:hanging="180"/>
      </w:pPr>
    </w:lvl>
    <w:lvl w:ilvl="6" w:tplc="685E45AE" w:tentative="1">
      <w:start w:val="1"/>
      <w:numFmt w:val="decimal"/>
      <w:lvlText w:val="%7."/>
      <w:lvlJc w:val="left"/>
      <w:pPr>
        <w:tabs>
          <w:tab w:val="num" w:pos="5040"/>
        </w:tabs>
        <w:ind w:left="5040" w:hanging="360"/>
      </w:pPr>
    </w:lvl>
    <w:lvl w:ilvl="7" w:tplc="8438B876" w:tentative="1">
      <w:start w:val="1"/>
      <w:numFmt w:val="lowerLetter"/>
      <w:lvlText w:val="%8."/>
      <w:lvlJc w:val="left"/>
      <w:pPr>
        <w:tabs>
          <w:tab w:val="num" w:pos="5760"/>
        </w:tabs>
        <w:ind w:left="5760" w:hanging="360"/>
      </w:pPr>
    </w:lvl>
    <w:lvl w:ilvl="8" w:tplc="20FCE34C" w:tentative="1">
      <w:start w:val="1"/>
      <w:numFmt w:val="lowerRoman"/>
      <w:lvlText w:val="%9."/>
      <w:lvlJc w:val="right"/>
      <w:pPr>
        <w:tabs>
          <w:tab w:val="num" w:pos="6480"/>
        </w:tabs>
        <w:ind w:left="6480" w:hanging="180"/>
      </w:pPr>
    </w:lvl>
  </w:abstractNum>
  <w:abstractNum w:abstractNumId="5" w15:restartNumberingAfterBreak="0">
    <w:nsid w:val="32CA26C6"/>
    <w:multiLevelType w:val="hybridMultilevel"/>
    <w:tmpl w:val="4196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A37410"/>
    <w:multiLevelType w:val="hybridMultilevel"/>
    <w:tmpl w:val="ABCAF5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9D59BA"/>
    <w:multiLevelType w:val="hybridMultilevel"/>
    <w:tmpl w:val="DE308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F971A7"/>
    <w:multiLevelType w:val="hybridMultilevel"/>
    <w:tmpl w:val="D214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EA7D29"/>
    <w:multiLevelType w:val="hybridMultilevel"/>
    <w:tmpl w:val="7D2A2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8"/>
  </w:num>
  <w:num w:numId="4">
    <w:abstractNumId w:val="10"/>
  </w:num>
  <w:num w:numId="5">
    <w:abstractNumId w:val="10"/>
    <w:lvlOverride w:ilvl="0">
      <w:startOverride w:val="1"/>
    </w:lvlOverride>
  </w:num>
  <w:num w:numId="6">
    <w:abstractNumId w:val="5"/>
  </w:num>
  <w:num w:numId="7">
    <w:abstractNumId w:val="6"/>
  </w:num>
  <w:num w:numId="8">
    <w:abstractNumId w:val="7"/>
  </w:num>
  <w:num w:numId="9">
    <w:abstractNumId w:val="0"/>
  </w:num>
  <w:num w:numId="10">
    <w:abstractNumId w:val="3"/>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5D9"/>
    <w:rsid w:val="00001447"/>
    <w:rsid w:val="00005588"/>
    <w:rsid w:val="000214A8"/>
    <w:rsid w:val="00021B83"/>
    <w:rsid w:val="00025820"/>
    <w:rsid w:val="000342F2"/>
    <w:rsid w:val="00034CA1"/>
    <w:rsid w:val="00044D17"/>
    <w:rsid w:val="0005644C"/>
    <w:rsid w:val="000574FE"/>
    <w:rsid w:val="00062223"/>
    <w:rsid w:val="00062BAB"/>
    <w:rsid w:val="0006636E"/>
    <w:rsid w:val="00073B93"/>
    <w:rsid w:val="00075051"/>
    <w:rsid w:val="00080048"/>
    <w:rsid w:val="0008037D"/>
    <w:rsid w:val="000844BB"/>
    <w:rsid w:val="00092639"/>
    <w:rsid w:val="000935F0"/>
    <w:rsid w:val="00093834"/>
    <w:rsid w:val="0009427C"/>
    <w:rsid w:val="000A6E0D"/>
    <w:rsid w:val="000C30A4"/>
    <w:rsid w:val="000C3C6E"/>
    <w:rsid w:val="000D4044"/>
    <w:rsid w:val="000E31ED"/>
    <w:rsid w:val="000E5927"/>
    <w:rsid w:val="000E70BD"/>
    <w:rsid w:val="000F6532"/>
    <w:rsid w:val="00105165"/>
    <w:rsid w:val="00107280"/>
    <w:rsid w:val="001074E7"/>
    <w:rsid w:val="0011091D"/>
    <w:rsid w:val="0012068D"/>
    <w:rsid w:val="00121D06"/>
    <w:rsid w:val="0013151B"/>
    <w:rsid w:val="00132B3B"/>
    <w:rsid w:val="00144F11"/>
    <w:rsid w:val="00144F40"/>
    <w:rsid w:val="00152216"/>
    <w:rsid w:val="0015683D"/>
    <w:rsid w:val="0016312E"/>
    <w:rsid w:val="001663B1"/>
    <w:rsid w:val="00166F26"/>
    <w:rsid w:val="00172DC7"/>
    <w:rsid w:val="0018750F"/>
    <w:rsid w:val="00191ED8"/>
    <w:rsid w:val="00192C75"/>
    <w:rsid w:val="001945F6"/>
    <w:rsid w:val="00195A67"/>
    <w:rsid w:val="001A42E6"/>
    <w:rsid w:val="001A6E9A"/>
    <w:rsid w:val="001A777C"/>
    <w:rsid w:val="001B5010"/>
    <w:rsid w:val="001B6778"/>
    <w:rsid w:val="001C64F0"/>
    <w:rsid w:val="001C6FA8"/>
    <w:rsid w:val="001C7324"/>
    <w:rsid w:val="001D0B02"/>
    <w:rsid w:val="001D0B89"/>
    <w:rsid w:val="001D6BCA"/>
    <w:rsid w:val="001E1D2C"/>
    <w:rsid w:val="001E56D1"/>
    <w:rsid w:val="001E689F"/>
    <w:rsid w:val="00205AF4"/>
    <w:rsid w:val="00205DF3"/>
    <w:rsid w:val="0020656B"/>
    <w:rsid w:val="00206DFA"/>
    <w:rsid w:val="00210355"/>
    <w:rsid w:val="00214A02"/>
    <w:rsid w:val="00224BF9"/>
    <w:rsid w:val="00227C7C"/>
    <w:rsid w:val="00232063"/>
    <w:rsid w:val="00246154"/>
    <w:rsid w:val="002475F1"/>
    <w:rsid w:val="00250684"/>
    <w:rsid w:val="00257BDB"/>
    <w:rsid w:val="00261963"/>
    <w:rsid w:val="00280331"/>
    <w:rsid w:val="00286EB2"/>
    <w:rsid w:val="002909F3"/>
    <w:rsid w:val="00292396"/>
    <w:rsid w:val="00292856"/>
    <w:rsid w:val="00296AE3"/>
    <w:rsid w:val="002A7173"/>
    <w:rsid w:val="002A7A97"/>
    <w:rsid w:val="002A7D99"/>
    <w:rsid w:val="002B2DCF"/>
    <w:rsid w:val="002C0DB3"/>
    <w:rsid w:val="002C209F"/>
    <w:rsid w:val="002C4A57"/>
    <w:rsid w:val="002D44C8"/>
    <w:rsid w:val="002E125E"/>
    <w:rsid w:val="002E7FE1"/>
    <w:rsid w:val="002F342B"/>
    <w:rsid w:val="002F36A9"/>
    <w:rsid w:val="00300024"/>
    <w:rsid w:val="00300F0E"/>
    <w:rsid w:val="00310C57"/>
    <w:rsid w:val="003174B2"/>
    <w:rsid w:val="0032029A"/>
    <w:rsid w:val="00321DA6"/>
    <w:rsid w:val="00321FBA"/>
    <w:rsid w:val="00325106"/>
    <w:rsid w:val="00330112"/>
    <w:rsid w:val="00332A99"/>
    <w:rsid w:val="0034087C"/>
    <w:rsid w:val="00341C5B"/>
    <w:rsid w:val="00341C5F"/>
    <w:rsid w:val="00342A8C"/>
    <w:rsid w:val="00344D98"/>
    <w:rsid w:val="00346E59"/>
    <w:rsid w:val="00357113"/>
    <w:rsid w:val="00361105"/>
    <w:rsid w:val="0036571E"/>
    <w:rsid w:val="00371AAA"/>
    <w:rsid w:val="00373C43"/>
    <w:rsid w:val="00376811"/>
    <w:rsid w:val="003806FB"/>
    <w:rsid w:val="00386C8D"/>
    <w:rsid w:val="0039057E"/>
    <w:rsid w:val="00392C6A"/>
    <w:rsid w:val="00396BDE"/>
    <w:rsid w:val="003A421D"/>
    <w:rsid w:val="003A74B8"/>
    <w:rsid w:val="003B2FD5"/>
    <w:rsid w:val="003B324A"/>
    <w:rsid w:val="003B6AD1"/>
    <w:rsid w:val="003C0F3D"/>
    <w:rsid w:val="003D4C22"/>
    <w:rsid w:val="003E046A"/>
    <w:rsid w:val="003E30E5"/>
    <w:rsid w:val="003E5C68"/>
    <w:rsid w:val="003E65CD"/>
    <w:rsid w:val="003F05AC"/>
    <w:rsid w:val="003F6C97"/>
    <w:rsid w:val="003F71DC"/>
    <w:rsid w:val="004129F9"/>
    <w:rsid w:val="00417155"/>
    <w:rsid w:val="00417261"/>
    <w:rsid w:val="004210CD"/>
    <w:rsid w:val="004302A7"/>
    <w:rsid w:val="00437587"/>
    <w:rsid w:val="00443A18"/>
    <w:rsid w:val="00445F9A"/>
    <w:rsid w:val="00451001"/>
    <w:rsid w:val="00451951"/>
    <w:rsid w:val="00451953"/>
    <w:rsid w:val="00451B16"/>
    <w:rsid w:val="00453EEC"/>
    <w:rsid w:val="00457F3F"/>
    <w:rsid w:val="00460339"/>
    <w:rsid w:val="00461B83"/>
    <w:rsid w:val="00464EDC"/>
    <w:rsid w:val="00465545"/>
    <w:rsid w:val="00487456"/>
    <w:rsid w:val="00494C3B"/>
    <w:rsid w:val="004959D4"/>
    <w:rsid w:val="004A0099"/>
    <w:rsid w:val="004A1670"/>
    <w:rsid w:val="004A1C8F"/>
    <w:rsid w:val="004A388A"/>
    <w:rsid w:val="004B0799"/>
    <w:rsid w:val="004C70EE"/>
    <w:rsid w:val="004D0289"/>
    <w:rsid w:val="004E107E"/>
    <w:rsid w:val="004E2B52"/>
    <w:rsid w:val="004E513A"/>
    <w:rsid w:val="004F20E1"/>
    <w:rsid w:val="005007BE"/>
    <w:rsid w:val="00501DA6"/>
    <w:rsid w:val="005034AB"/>
    <w:rsid w:val="00505492"/>
    <w:rsid w:val="005073EF"/>
    <w:rsid w:val="005231A3"/>
    <w:rsid w:val="0053619F"/>
    <w:rsid w:val="00541137"/>
    <w:rsid w:val="0054572C"/>
    <w:rsid w:val="0054639C"/>
    <w:rsid w:val="00560A71"/>
    <w:rsid w:val="00564228"/>
    <w:rsid w:val="00575316"/>
    <w:rsid w:val="0059107B"/>
    <w:rsid w:val="00593405"/>
    <w:rsid w:val="00593B69"/>
    <w:rsid w:val="005A0087"/>
    <w:rsid w:val="005A0634"/>
    <w:rsid w:val="005A45BD"/>
    <w:rsid w:val="005B15A2"/>
    <w:rsid w:val="005B7A53"/>
    <w:rsid w:val="005C1942"/>
    <w:rsid w:val="005C2876"/>
    <w:rsid w:val="005C69C4"/>
    <w:rsid w:val="005C6C14"/>
    <w:rsid w:val="005C7F7C"/>
    <w:rsid w:val="005D335F"/>
    <w:rsid w:val="005F04C8"/>
    <w:rsid w:val="005F0AAA"/>
    <w:rsid w:val="005F2CB3"/>
    <w:rsid w:val="005F745A"/>
    <w:rsid w:val="006078A2"/>
    <w:rsid w:val="006116D3"/>
    <w:rsid w:val="00617DAB"/>
    <w:rsid w:val="00624222"/>
    <w:rsid w:val="006252C8"/>
    <w:rsid w:val="00626932"/>
    <w:rsid w:val="0063356A"/>
    <w:rsid w:val="006349DE"/>
    <w:rsid w:val="00634E8F"/>
    <w:rsid w:val="00636279"/>
    <w:rsid w:val="006426EF"/>
    <w:rsid w:val="00642D35"/>
    <w:rsid w:val="006449FD"/>
    <w:rsid w:val="00654B17"/>
    <w:rsid w:val="00654BC9"/>
    <w:rsid w:val="00656C93"/>
    <w:rsid w:val="0066157A"/>
    <w:rsid w:val="00661D47"/>
    <w:rsid w:val="00665115"/>
    <w:rsid w:val="00670FDB"/>
    <w:rsid w:val="00673600"/>
    <w:rsid w:val="00677717"/>
    <w:rsid w:val="006779FE"/>
    <w:rsid w:val="006808A0"/>
    <w:rsid w:val="00680E86"/>
    <w:rsid w:val="006846E7"/>
    <w:rsid w:val="006A284C"/>
    <w:rsid w:val="006B094C"/>
    <w:rsid w:val="006B19C9"/>
    <w:rsid w:val="006B2E9B"/>
    <w:rsid w:val="006B6ADD"/>
    <w:rsid w:val="006E0EED"/>
    <w:rsid w:val="006F2675"/>
    <w:rsid w:val="006F679F"/>
    <w:rsid w:val="007007F1"/>
    <w:rsid w:val="0070312D"/>
    <w:rsid w:val="007061C2"/>
    <w:rsid w:val="0071516B"/>
    <w:rsid w:val="0071621A"/>
    <w:rsid w:val="00717E28"/>
    <w:rsid w:val="00724359"/>
    <w:rsid w:val="00733036"/>
    <w:rsid w:val="007334BB"/>
    <w:rsid w:val="007336FB"/>
    <w:rsid w:val="0073545F"/>
    <w:rsid w:val="007372A4"/>
    <w:rsid w:val="00737686"/>
    <w:rsid w:val="00737FA9"/>
    <w:rsid w:val="00751401"/>
    <w:rsid w:val="00751457"/>
    <w:rsid w:val="007524A9"/>
    <w:rsid w:val="00753C2B"/>
    <w:rsid w:val="00763790"/>
    <w:rsid w:val="00772C91"/>
    <w:rsid w:val="00775C56"/>
    <w:rsid w:val="00780FD2"/>
    <w:rsid w:val="0078333C"/>
    <w:rsid w:val="007866C8"/>
    <w:rsid w:val="00790A29"/>
    <w:rsid w:val="007951D9"/>
    <w:rsid w:val="007968D4"/>
    <w:rsid w:val="007B25F3"/>
    <w:rsid w:val="007B6E20"/>
    <w:rsid w:val="007C2716"/>
    <w:rsid w:val="007D5358"/>
    <w:rsid w:val="007E0074"/>
    <w:rsid w:val="007E1DD9"/>
    <w:rsid w:val="007E22AC"/>
    <w:rsid w:val="007E258B"/>
    <w:rsid w:val="0080264A"/>
    <w:rsid w:val="0080311A"/>
    <w:rsid w:val="008034C2"/>
    <w:rsid w:val="008039AA"/>
    <w:rsid w:val="0080710A"/>
    <w:rsid w:val="00810A2E"/>
    <w:rsid w:val="00812077"/>
    <w:rsid w:val="0081336E"/>
    <w:rsid w:val="00827634"/>
    <w:rsid w:val="00834AB9"/>
    <w:rsid w:val="008452A2"/>
    <w:rsid w:val="00845887"/>
    <w:rsid w:val="0084727A"/>
    <w:rsid w:val="008514EA"/>
    <w:rsid w:val="00857205"/>
    <w:rsid w:val="008611EC"/>
    <w:rsid w:val="00862EF8"/>
    <w:rsid w:val="0087731C"/>
    <w:rsid w:val="00881A38"/>
    <w:rsid w:val="008831C7"/>
    <w:rsid w:val="0088516E"/>
    <w:rsid w:val="00892541"/>
    <w:rsid w:val="008931D6"/>
    <w:rsid w:val="008A2552"/>
    <w:rsid w:val="008A35D9"/>
    <w:rsid w:val="008A38BD"/>
    <w:rsid w:val="008A4C19"/>
    <w:rsid w:val="008C584A"/>
    <w:rsid w:val="008D6236"/>
    <w:rsid w:val="008D749A"/>
    <w:rsid w:val="008E0DF1"/>
    <w:rsid w:val="008E1EAB"/>
    <w:rsid w:val="008F724D"/>
    <w:rsid w:val="00900B13"/>
    <w:rsid w:val="009033B6"/>
    <w:rsid w:val="009071D4"/>
    <w:rsid w:val="00907944"/>
    <w:rsid w:val="009204F8"/>
    <w:rsid w:val="009228A1"/>
    <w:rsid w:val="009244E9"/>
    <w:rsid w:val="00927F69"/>
    <w:rsid w:val="009448BE"/>
    <w:rsid w:val="00944C6B"/>
    <w:rsid w:val="00951832"/>
    <w:rsid w:val="009524A0"/>
    <w:rsid w:val="00953727"/>
    <w:rsid w:val="00956108"/>
    <w:rsid w:val="00964F53"/>
    <w:rsid w:val="00966357"/>
    <w:rsid w:val="009667BE"/>
    <w:rsid w:val="00966F93"/>
    <w:rsid w:val="00974E7C"/>
    <w:rsid w:val="00975502"/>
    <w:rsid w:val="00977A94"/>
    <w:rsid w:val="009842EE"/>
    <w:rsid w:val="0099379D"/>
    <w:rsid w:val="009A329A"/>
    <w:rsid w:val="009A4CD2"/>
    <w:rsid w:val="009B4963"/>
    <w:rsid w:val="009B7192"/>
    <w:rsid w:val="009B7261"/>
    <w:rsid w:val="009D0DDF"/>
    <w:rsid w:val="009D7079"/>
    <w:rsid w:val="009E26F6"/>
    <w:rsid w:val="009E7AF2"/>
    <w:rsid w:val="009F7B40"/>
    <w:rsid w:val="00A02BDD"/>
    <w:rsid w:val="00A10B99"/>
    <w:rsid w:val="00A11565"/>
    <w:rsid w:val="00A15B95"/>
    <w:rsid w:val="00A201B2"/>
    <w:rsid w:val="00A221E7"/>
    <w:rsid w:val="00A23948"/>
    <w:rsid w:val="00A4033C"/>
    <w:rsid w:val="00A41ADC"/>
    <w:rsid w:val="00A46B9E"/>
    <w:rsid w:val="00A47EB7"/>
    <w:rsid w:val="00A5277D"/>
    <w:rsid w:val="00A52E56"/>
    <w:rsid w:val="00A67C9D"/>
    <w:rsid w:val="00A701DB"/>
    <w:rsid w:val="00A75B8B"/>
    <w:rsid w:val="00A94876"/>
    <w:rsid w:val="00AA6E9B"/>
    <w:rsid w:val="00AB2050"/>
    <w:rsid w:val="00AB656D"/>
    <w:rsid w:val="00AC196D"/>
    <w:rsid w:val="00AC3854"/>
    <w:rsid w:val="00AC3880"/>
    <w:rsid w:val="00AC493A"/>
    <w:rsid w:val="00AC71A7"/>
    <w:rsid w:val="00AD186A"/>
    <w:rsid w:val="00AD3005"/>
    <w:rsid w:val="00AD7C60"/>
    <w:rsid w:val="00AE28F1"/>
    <w:rsid w:val="00AE45DA"/>
    <w:rsid w:val="00AE6CAF"/>
    <w:rsid w:val="00AF0D80"/>
    <w:rsid w:val="00AF3947"/>
    <w:rsid w:val="00AF4180"/>
    <w:rsid w:val="00AF4A63"/>
    <w:rsid w:val="00B056C8"/>
    <w:rsid w:val="00B07B3D"/>
    <w:rsid w:val="00B10421"/>
    <w:rsid w:val="00B10662"/>
    <w:rsid w:val="00B16F72"/>
    <w:rsid w:val="00B3614D"/>
    <w:rsid w:val="00B370E9"/>
    <w:rsid w:val="00B52F93"/>
    <w:rsid w:val="00B5708B"/>
    <w:rsid w:val="00B67C7F"/>
    <w:rsid w:val="00B738CA"/>
    <w:rsid w:val="00B75064"/>
    <w:rsid w:val="00B75E21"/>
    <w:rsid w:val="00B81DC8"/>
    <w:rsid w:val="00B83648"/>
    <w:rsid w:val="00B84944"/>
    <w:rsid w:val="00B84F37"/>
    <w:rsid w:val="00B852C3"/>
    <w:rsid w:val="00B9334D"/>
    <w:rsid w:val="00BA1971"/>
    <w:rsid w:val="00BA208C"/>
    <w:rsid w:val="00BA3872"/>
    <w:rsid w:val="00BB1A2E"/>
    <w:rsid w:val="00BB4625"/>
    <w:rsid w:val="00BB513C"/>
    <w:rsid w:val="00BB593E"/>
    <w:rsid w:val="00BB6A20"/>
    <w:rsid w:val="00BB6E7D"/>
    <w:rsid w:val="00BC135B"/>
    <w:rsid w:val="00BC546D"/>
    <w:rsid w:val="00BD00C1"/>
    <w:rsid w:val="00BD5F15"/>
    <w:rsid w:val="00BE015F"/>
    <w:rsid w:val="00BE18A8"/>
    <w:rsid w:val="00BF04F2"/>
    <w:rsid w:val="00BF3A8B"/>
    <w:rsid w:val="00C05BCC"/>
    <w:rsid w:val="00C060A1"/>
    <w:rsid w:val="00C15A0A"/>
    <w:rsid w:val="00C173F2"/>
    <w:rsid w:val="00C178DF"/>
    <w:rsid w:val="00C2390E"/>
    <w:rsid w:val="00C27E2D"/>
    <w:rsid w:val="00C32551"/>
    <w:rsid w:val="00C35945"/>
    <w:rsid w:val="00C3691A"/>
    <w:rsid w:val="00C51B4B"/>
    <w:rsid w:val="00C525E8"/>
    <w:rsid w:val="00C53853"/>
    <w:rsid w:val="00C5727B"/>
    <w:rsid w:val="00C631F5"/>
    <w:rsid w:val="00C677EC"/>
    <w:rsid w:val="00C736E6"/>
    <w:rsid w:val="00C779C0"/>
    <w:rsid w:val="00C80F70"/>
    <w:rsid w:val="00C83EC2"/>
    <w:rsid w:val="00C902DD"/>
    <w:rsid w:val="00C979F9"/>
    <w:rsid w:val="00CA0F78"/>
    <w:rsid w:val="00CB03E3"/>
    <w:rsid w:val="00CB1334"/>
    <w:rsid w:val="00CB213B"/>
    <w:rsid w:val="00CB4A41"/>
    <w:rsid w:val="00CB76C0"/>
    <w:rsid w:val="00CD04AA"/>
    <w:rsid w:val="00CD238D"/>
    <w:rsid w:val="00CD4A98"/>
    <w:rsid w:val="00CD70B8"/>
    <w:rsid w:val="00CE1E29"/>
    <w:rsid w:val="00CF302B"/>
    <w:rsid w:val="00D032FB"/>
    <w:rsid w:val="00D06290"/>
    <w:rsid w:val="00D117FA"/>
    <w:rsid w:val="00D209B9"/>
    <w:rsid w:val="00D2452F"/>
    <w:rsid w:val="00D2454B"/>
    <w:rsid w:val="00D31C75"/>
    <w:rsid w:val="00D35A5E"/>
    <w:rsid w:val="00D36D76"/>
    <w:rsid w:val="00D370C4"/>
    <w:rsid w:val="00D50EB7"/>
    <w:rsid w:val="00D525E7"/>
    <w:rsid w:val="00D63D97"/>
    <w:rsid w:val="00D64CD4"/>
    <w:rsid w:val="00D6756D"/>
    <w:rsid w:val="00D731F4"/>
    <w:rsid w:val="00D80222"/>
    <w:rsid w:val="00D8029C"/>
    <w:rsid w:val="00D87756"/>
    <w:rsid w:val="00D87837"/>
    <w:rsid w:val="00D93033"/>
    <w:rsid w:val="00D937BE"/>
    <w:rsid w:val="00D94E2E"/>
    <w:rsid w:val="00DB1C72"/>
    <w:rsid w:val="00DB2C46"/>
    <w:rsid w:val="00DB6AB5"/>
    <w:rsid w:val="00DC47AF"/>
    <w:rsid w:val="00DD32FF"/>
    <w:rsid w:val="00DE25FF"/>
    <w:rsid w:val="00DE50FC"/>
    <w:rsid w:val="00DF19EC"/>
    <w:rsid w:val="00E025D0"/>
    <w:rsid w:val="00E07D0B"/>
    <w:rsid w:val="00E2483C"/>
    <w:rsid w:val="00E330B0"/>
    <w:rsid w:val="00E33719"/>
    <w:rsid w:val="00E4444F"/>
    <w:rsid w:val="00E4578D"/>
    <w:rsid w:val="00E47758"/>
    <w:rsid w:val="00E57605"/>
    <w:rsid w:val="00E632E0"/>
    <w:rsid w:val="00E6681A"/>
    <w:rsid w:val="00E73623"/>
    <w:rsid w:val="00E76FCA"/>
    <w:rsid w:val="00E911D0"/>
    <w:rsid w:val="00E96424"/>
    <w:rsid w:val="00EA2094"/>
    <w:rsid w:val="00EA5FA0"/>
    <w:rsid w:val="00EB1DC7"/>
    <w:rsid w:val="00EB5807"/>
    <w:rsid w:val="00EB6041"/>
    <w:rsid w:val="00EB72A2"/>
    <w:rsid w:val="00EC6166"/>
    <w:rsid w:val="00ED43FE"/>
    <w:rsid w:val="00EE0354"/>
    <w:rsid w:val="00EE63F4"/>
    <w:rsid w:val="00EE6C88"/>
    <w:rsid w:val="00EE6DCD"/>
    <w:rsid w:val="00EF2ACA"/>
    <w:rsid w:val="00EF337F"/>
    <w:rsid w:val="00EF4022"/>
    <w:rsid w:val="00F054D6"/>
    <w:rsid w:val="00F06BC1"/>
    <w:rsid w:val="00F3010A"/>
    <w:rsid w:val="00F3163F"/>
    <w:rsid w:val="00F37587"/>
    <w:rsid w:val="00F44858"/>
    <w:rsid w:val="00F506DC"/>
    <w:rsid w:val="00F51243"/>
    <w:rsid w:val="00F5798F"/>
    <w:rsid w:val="00F60D00"/>
    <w:rsid w:val="00F61A63"/>
    <w:rsid w:val="00F656B1"/>
    <w:rsid w:val="00F762C1"/>
    <w:rsid w:val="00F83603"/>
    <w:rsid w:val="00F837D7"/>
    <w:rsid w:val="00F875CE"/>
    <w:rsid w:val="00F87E5D"/>
    <w:rsid w:val="00F901B2"/>
    <w:rsid w:val="00F90F1E"/>
    <w:rsid w:val="00F976FB"/>
    <w:rsid w:val="00FA4108"/>
    <w:rsid w:val="00FA7E1A"/>
    <w:rsid w:val="00FB2551"/>
    <w:rsid w:val="00FB4045"/>
    <w:rsid w:val="00FB6090"/>
    <w:rsid w:val="00FB7253"/>
    <w:rsid w:val="00FB7E35"/>
    <w:rsid w:val="00FC2698"/>
    <w:rsid w:val="00FD5C5B"/>
    <w:rsid w:val="00FD5F16"/>
    <w:rsid w:val="00FE304D"/>
    <w:rsid w:val="00FF633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7EE2EF"/>
  <w15:chartTrackingRefBased/>
  <w15:docId w15:val="{7DF31890-A1E5-4761-B5B8-16CE0E63C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1DC8"/>
    <w:rPr>
      <w:rFonts w:ascii="Arial" w:hAnsi="Arial"/>
      <w:sz w:val="22"/>
      <w:lang w:eastAsia="en-US"/>
    </w:rPr>
  </w:style>
  <w:style w:type="paragraph" w:styleId="Heading1">
    <w:name w:val="heading 1"/>
    <w:basedOn w:val="Normal"/>
    <w:next w:val="Normal"/>
    <w:link w:val="Heading1Char"/>
    <w:qFormat/>
    <w:pPr>
      <w:keepNext/>
      <w:outlineLvl w:val="0"/>
    </w:pPr>
    <w:rPr>
      <w:b/>
      <w:bCs/>
    </w:rPr>
  </w:style>
  <w:style w:type="paragraph" w:styleId="Heading2">
    <w:name w:val="heading 2"/>
    <w:basedOn w:val="Normal"/>
    <w:next w:val="Normal"/>
    <w:link w:val="Heading2Char"/>
    <w:semiHidden/>
    <w:unhideWhenUsed/>
    <w:qFormat/>
    <w:rsid w:val="003F6C97"/>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link w:val="BodyTextChar"/>
    <w:rPr>
      <w:b/>
      <w:bCs/>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sz w:val="20"/>
    </w:rPr>
  </w:style>
  <w:style w:type="character" w:customStyle="1" w:styleId="CommentTextChar">
    <w:name w:val="Comment Text Char"/>
    <w:link w:val="CommentText"/>
    <w:rsid w:val="00437587"/>
    <w:rPr>
      <w:rFonts w:ascii="Arial" w:hAnsi="Arial"/>
      <w:lang w:eastAsia="en-US"/>
    </w:rPr>
  </w:style>
  <w:style w:type="character" w:customStyle="1" w:styleId="HeaderChar">
    <w:name w:val="Header Char"/>
    <w:link w:val="Header"/>
    <w:uiPriority w:val="99"/>
    <w:rsid w:val="007968D4"/>
    <w:rPr>
      <w:rFonts w:ascii="Arial" w:hAnsi="Arial"/>
      <w:sz w:val="24"/>
      <w:szCs w:val="24"/>
      <w:lang w:eastAsia="en-US"/>
    </w:rPr>
  </w:style>
  <w:style w:type="character" w:customStyle="1" w:styleId="FooterChar">
    <w:name w:val="Footer Char"/>
    <w:link w:val="Footer"/>
    <w:uiPriority w:val="99"/>
    <w:rsid w:val="00EE6C88"/>
    <w:rPr>
      <w:rFonts w:ascii="Arial" w:hAnsi="Arial"/>
      <w:sz w:val="22"/>
      <w:lang w:eastAsia="en-US"/>
    </w:rPr>
  </w:style>
  <w:style w:type="paragraph" w:styleId="CommentSubject">
    <w:name w:val="annotation subject"/>
    <w:basedOn w:val="CommentText"/>
    <w:next w:val="CommentText"/>
    <w:link w:val="CommentSubjectChar"/>
    <w:rsid w:val="008A2552"/>
    <w:rPr>
      <w:b/>
      <w:bCs/>
    </w:rPr>
  </w:style>
  <w:style w:type="character" w:customStyle="1" w:styleId="CommentSubjectChar">
    <w:name w:val="Comment Subject Char"/>
    <w:link w:val="CommentSubject"/>
    <w:rsid w:val="008A2552"/>
    <w:rPr>
      <w:rFonts w:ascii="Arial" w:hAnsi="Arial"/>
      <w:b/>
      <w:bCs/>
      <w:lang w:eastAsia="en-US"/>
    </w:rPr>
  </w:style>
  <w:style w:type="paragraph" w:styleId="Revision">
    <w:name w:val="Revision"/>
    <w:hidden/>
    <w:uiPriority w:val="99"/>
    <w:semiHidden/>
    <w:rsid w:val="00B16F72"/>
    <w:rPr>
      <w:rFonts w:ascii="Arial" w:hAnsi="Arial"/>
      <w:sz w:val="22"/>
      <w:lang w:eastAsia="en-US"/>
    </w:rPr>
  </w:style>
  <w:style w:type="character" w:customStyle="1" w:styleId="BalloonTextChar">
    <w:name w:val="Balloon Text Char"/>
    <w:link w:val="BalloonText"/>
    <w:rsid w:val="001E56D1"/>
    <w:rPr>
      <w:rFonts w:ascii="Tahoma" w:hAnsi="Tahoma" w:cs="Tahoma"/>
      <w:sz w:val="16"/>
      <w:szCs w:val="16"/>
      <w:lang w:eastAsia="en-US"/>
    </w:rPr>
  </w:style>
  <w:style w:type="paragraph" w:customStyle="1" w:styleId="Paragraphnonumbers">
    <w:name w:val="Paragraph no numbers"/>
    <w:basedOn w:val="Normal"/>
    <w:uiPriority w:val="99"/>
    <w:qFormat/>
    <w:rsid w:val="00246154"/>
    <w:pPr>
      <w:spacing w:after="240" w:line="276" w:lineRule="auto"/>
    </w:pPr>
    <w:rPr>
      <w:sz w:val="24"/>
      <w:szCs w:val="24"/>
      <w:lang w:eastAsia="en-GB"/>
    </w:rPr>
  </w:style>
  <w:style w:type="paragraph" w:customStyle="1" w:styleId="Bullets">
    <w:name w:val="Bullets"/>
    <w:basedOn w:val="Normal"/>
    <w:uiPriority w:val="5"/>
    <w:qFormat/>
    <w:rsid w:val="00246154"/>
    <w:pPr>
      <w:numPr>
        <w:numId w:val="4"/>
      </w:numPr>
      <w:spacing w:after="120" w:line="276" w:lineRule="auto"/>
    </w:pPr>
    <w:rPr>
      <w:sz w:val="24"/>
      <w:szCs w:val="24"/>
      <w:lang w:eastAsia="en-GB"/>
    </w:rPr>
  </w:style>
  <w:style w:type="table" w:styleId="TableGrid">
    <w:name w:val="Table Grid"/>
    <w:basedOn w:val="TableNormal"/>
    <w:rsid w:val="003F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F6C97"/>
    <w:rPr>
      <w:rFonts w:ascii="Cambria" w:eastAsia="Times New Roman" w:hAnsi="Cambria" w:cs="Times New Roman"/>
      <w:b/>
      <w:bCs/>
      <w:i/>
      <w:iCs/>
      <w:sz w:val="28"/>
      <w:szCs w:val="28"/>
      <w:lang w:eastAsia="en-US"/>
    </w:rPr>
  </w:style>
  <w:style w:type="paragraph" w:customStyle="1" w:styleId="NICEnormal">
    <w:name w:val="NICE normal"/>
    <w:link w:val="NICEnormalChar"/>
    <w:rsid w:val="000C30A4"/>
    <w:pPr>
      <w:spacing w:after="240" w:line="360" w:lineRule="auto"/>
    </w:pPr>
    <w:rPr>
      <w:rFonts w:ascii="Arial" w:hAnsi="Arial"/>
      <w:sz w:val="24"/>
      <w:szCs w:val="24"/>
      <w:lang w:val="en-US" w:eastAsia="en-US"/>
    </w:rPr>
  </w:style>
  <w:style w:type="character" w:customStyle="1" w:styleId="NICEnormalChar">
    <w:name w:val="NICE normal Char"/>
    <w:link w:val="NICEnormal"/>
    <w:rsid w:val="000C30A4"/>
    <w:rPr>
      <w:rFonts w:ascii="Arial" w:hAnsi="Arial"/>
      <w:sz w:val="24"/>
      <w:szCs w:val="24"/>
      <w:lang w:val="en-US" w:eastAsia="en-US"/>
    </w:rPr>
  </w:style>
  <w:style w:type="paragraph" w:customStyle="1" w:styleId="Paragraph">
    <w:name w:val="Paragraph"/>
    <w:basedOn w:val="Normal"/>
    <w:uiPriority w:val="4"/>
    <w:qFormat/>
    <w:rsid w:val="00F44858"/>
    <w:pPr>
      <w:numPr>
        <w:numId w:val="10"/>
      </w:numPr>
      <w:tabs>
        <w:tab w:val="left" w:pos="567"/>
      </w:tabs>
      <w:spacing w:after="240" w:line="276" w:lineRule="auto"/>
      <w:ind w:left="567" w:hanging="501"/>
    </w:pPr>
    <w:rPr>
      <w:sz w:val="24"/>
      <w:szCs w:val="24"/>
      <w:lang w:eastAsia="en-GB"/>
    </w:rPr>
  </w:style>
  <w:style w:type="character" w:styleId="Emphasis">
    <w:name w:val="Emphasis"/>
    <w:uiPriority w:val="20"/>
    <w:qFormat/>
    <w:rsid w:val="00E76FCA"/>
    <w:rPr>
      <w:i/>
      <w:iCs/>
    </w:rPr>
  </w:style>
  <w:style w:type="character" w:customStyle="1" w:styleId="UnresolvedMention1">
    <w:name w:val="Unresolved Mention1"/>
    <w:basedOn w:val="DefaultParagraphFont"/>
    <w:uiPriority w:val="99"/>
    <w:semiHidden/>
    <w:unhideWhenUsed/>
    <w:rsid w:val="00BB4625"/>
    <w:rPr>
      <w:color w:val="605E5C"/>
      <w:shd w:val="clear" w:color="auto" w:fill="E1DFDD"/>
    </w:rPr>
  </w:style>
  <w:style w:type="paragraph" w:styleId="ListParagraph">
    <w:name w:val="List Paragraph"/>
    <w:basedOn w:val="Normal"/>
    <w:uiPriority w:val="34"/>
    <w:qFormat/>
    <w:rsid w:val="006B094C"/>
    <w:pPr>
      <w:ind w:left="720"/>
      <w:contextualSpacing/>
    </w:pPr>
  </w:style>
  <w:style w:type="character" w:customStyle="1" w:styleId="Heading1Char">
    <w:name w:val="Heading 1 Char"/>
    <w:basedOn w:val="DefaultParagraphFont"/>
    <w:link w:val="Heading1"/>
    <w:rsid w:val="000574FE"/>
    <w:rPr>
      <w:rFonts w:ascii="Arial" w:hAnsi="Arial"/>
      <w:b/>
      <w:bCs/>
      <w:sz w:val="22"/>
      <w:lang w:eastAsia="en-US"/>
    </w:rPr>
  </w:style>
  <w:style w:type="character" w:customStyle="1" w:styleId="BodyTextChar">
    <w:name w:val="Body Text Char"/>
    <w:basedOn w:val="DefaultParagraphFont"/>
    <w:link w:val="BodyText"/>
    <w:rsid w:val="000574FE"/>
    <w:rPr>
      <w:rFonts w:ascii="Arial" w:hAnsi="Arial"/>
      <w:b/>
      <w:bCs/>
      <w:sz w:val="22"/>
      <w:lang w:eastAsia="en-US"/>
    </w:rPr>
  </w:style>
  <w:style w:type="character" w:styleId="UnresolvedMention">
    <w:name w:val="Unresolved Mention"/>
    <w:basedOn w:val="DefaultParagraphFont"/>
    <w:uiPriority w:val="99"/>
    <w:semiHidden/>
    <w:unhideWhenUsed/>
    <w:rsid w:val="008D62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51820">
      <w:bodyDiv w:val="1"/>
      <w:marLeft w:val="0"/>
      <w:marRight w:val="0"/>
      <w:marTop w:val="0"/>
      <w:marBottom w:val="0"/>
      <w:divBdr>
        <w:top w:val="none" w:sz="0" w:space="0" w:color="auto"/>
        <w:left w:val="none" w:sz="0" w:space="0" w:color="auto"/>
        <w:bottom w:val="none" w:sz="0" w:space="0" w:color="auto"/>
        <w:right w:val="none" w:sz="0" w:space="0" w:color="auto"/>
      </w:divBdr>
    </w:div>
    <w:div w:id="201595258">
      <w:bodyDiv w:val="1"/>
      <w:marLeft w:val="0"/>
      <w:marRight w:val="0"/>
      <w:marTop w:val="0"/>
      <w:marBottom w:val="0"/>
      <w:divBdr>
        <w:top w:val="none" w:sz="0" w:space="0" w:color="auto"/>
        <w:left w:val="none" w:sz="0" w:space="0" w:color="auto"/>
        <w:bottom w:val="none" w:sz="0" w:space="0" w:color="auto"/>
        <w:right w:val="none" w:sz="0" w:space="0" w:color="auto"/>
      </w:divBdr>
    </w:div>
    <w:div w:id="674958321">
      <w:bodyDiv w:val="1"/>
      <w:marLeft w:val="0"/>
      <w:marRight w:val="0"/>
      <w:marTop w:val="0"/>
      <w:marBottom w:val="0"/>
      <w:divBdr>
        <w:top w:val="none" w:sz="0" w:space="0" w:color="auto"/>
        <w:left w:val="none" w:sz="0" w:space="0" w:color="auto"/>
        <w:bottom w:val="none" w:sz="0" w:space="0" w:color="auto"/>
        <w:right w:val="none" w:sz="0" w:space="0" w:color="auto"/>
      </w:divBdr>
    </w:div>
    <w:div w:id="830828444">
      <w:bodyDiv w:val="1"/>
      <w:marLeft w:val="0"/>
      <w:marRight w:val="0"/>
      <w:marTop w:val="0"/>
      <w:marBottom w:val="0"/>
      <w:divBdr>
        <w:top w:val="none" w:sz="0" w:space="0" w:color="auto"/>
        <w:left w:val="none" w:sz="0" w:space="0" w:color="auto"/>
        <w:bottom w:val="none" w:sz="0" w:space="0" w:color="auto"/>
        <w:right w:val="none" w:sz="0" w:space="0" w:color="auto"/>
      </w:divBdr>
    </w:div>
    <w:div w:id="901062534">
      <w:bodyDiv w:val="1"/>
      <w:marLeft w:val="0"/>
      <w:marRight w:val="0"/>
      <w:marTop w:val="0"/>
      <w:marBottom w:val="0"/>
      <w:divBdr>
        <w:top w:val="none" w:sz="0" w:space="0" w:color="auto"/>
        <w:left w:val="none" w:sz="0" w:space="0" w:color="auto"/>
        <w:bottom w:val="none" w:sz="0" w:space="0" w:color="auto"/>
        <w:right w:val="none" w:sz="0" w:space="0" w:color="auto"/>
      </w:divBdr>
      <w:divsChild>
        <w:div w:id="1548373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8251992">
              <w:marLeft w:val="0"/>
              <w:marRight w:val="0"/>
              <w:marTop w:val="0"/>
              <w:marBottom w:val="0"/>
              <w:divBdr>
                <w:top w:val="none" w:sz="0" w:space="0" w:color="auto"/>
                <w:left w:val="none" w:sz="0" w:space="0" w:color="auto"/>
                <w:bottom w:val="none" w:sz="0" w:space="0" w:color="auto"/>
                <w:right w:val="none" w:sz="0" w:space="0" w:color="auto"/>
              </w:divBdr>
              <w:divsChild>
                <w:div w:id="46677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athways.nice.org.uk/" TargetMode="External"/><Relationship Id="rId13" Type="http://schemas.openxmlformats.org/officeDocument/2006/relationships/hyperlink" Target="http://publications.naturalengland.org.uk/publication/4513819616346112?category=127020"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uro.who.int/en/publications/abstracts/what-is-the-evidence-on-the-role-of-the-arts-in-improving-health-and-well-being-a-scoping-review-2019"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nice.org.uk/privacy-notic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cch.org.uk/uploads/Creative_Health_Inquiry_Report_2017_-_Second_Edition.pdf" TargetMode="External"/><Relationship Id="rId5" Type="http://schemas.openxmlformats.org/officeDocument/2006/relationships/webSettings" Target="webSettings.xml"/><Relationship Id="rId15" Type="http://schemas.openxmlformats.org/officeDocument/2006/relationships/hyperlink" Target="https://www.nice.org.uk/privacy-notice" TargetMode="External"/><Relationship Id="rId10" Type="http://schemas.openxmlformats.org/officeDocument/2006/relationships/hyperlink" Target="http://www.nice.org.uk/process/pmg22/chapter/how-you-can-get-involve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ice.org.uk/process/pmg20/resources/developing-nice-guidelines-how-to-get-involved-2722986687/chapter/commenting-on-a-draft-guideline" TargetMode="External"/><Relationship Id="rId14" Type="http://schemas.openxmlformats.org/officeDocument/2006/relationships/hyperlink" Target="https://www.culturehealthandwellbeing.org.uk/news/blog/sue-flowers-creative-perspectiv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DepressionInAdultsUpdate@nice.org.uk"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DepressionInAdultsUpdate@nice.org.uk"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BC069-861B-4BC7-AFD9-ABBEF1165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2213</Words>
  <Characters>12618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National Institute for Clinical Excellence</vt:lpstr>
    </vt:vector>
  </TitlesOfParts>
  <Company>NICE</Company>
  <LinksUpToDate>false</LinksUpToDate>
  <CharactersWithSpaces>14802</CharactersWithSpaces>
  <SharedDoc>false</SharedDoc>
  <HLinks>
    <vt:vector size="18" baseType="variant">
      <vt:variant>
        <vt:i4>4128812</vt:i4>
      </vt:variant>
      <vt:variant>
        <vt:i4>9</vt:i4>
      </vt:variant>
      <vt:variant>
        <vt:i4>0</vt:i4>
      </vt:variant>
      <vt:variant>
        <vt:i4>5</vt:i4>
      </vt:variant>
      <vt:variant>
        <vt:lpwstr>https://www.nice.org.uk/privacy-notice</vt:lpwstr>
      </vt:variant>
      <vt:variant>
        <vt:lpwstr/>
      </vt:variant>
      <vt:variant>
        <vt:i4>5308422</vt:i4>
      </vt:variant>
      <vt:variant>
        <vt:i4>6</vt:i4>
      </vt:variant>
      <vt:variant>
        <vt:i4>0</vt:i4>
      </vt:variant>
      <vt:variant>
        <vt:i4>5</vt:i4>
      </vt:variant>
      <vt:variant>
        <vt:lpwstr>http://pathways.nice.org.uk/</vt:lpwstr>
      </vt:variant>
      <vt:variant>
        <vt:lpwstr/>
      </vt:variant>
      <vt:variant>
        <vt:i4>786450</vt:i4>
      </vt:variant>
      <vt:variant>
        <vt:i4>3</vt:i4>
      </vt:variant>
      <vt:variant>
        <vt:i4>0</vt:i4>
      </vt:variant>
      <vt:variant>
        <vt:i4>5</vt:i4>
      </vt:variant>
      <vt:variant>
        <vt:lpwstr>http://www.nice.org.uk/process/pmg22/chapter/how-you-can-get-involved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for Clinical Excellence</dc:title>
  <dc:subject/>
  <dc:creator>Katie Stafford</dc:creator>
  <cp:keywords/>
  <cp:lastModifiedBy>Victoria Hume</cp:lastModifiedBy>
  <cp:revision>18</cp:revision>
  <cp:lastPrinted>2005-11-01T09:30:00Z</cp:lastPrinted>
  <dcterms:created xsi:type="dcterms:W3CDTF">2022-01-12T14:18:00Z</dcterms:created>
  <dcterms:modified xsi:type="dcterms:W3CDTF">2022-01-12T15:00:00Z</dcterms:modified>
</cp:coreProperties>
</file>