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11E3" w14:textId="5505D4EA" w:rsidR="00456AF5" w:rsidRDefault="00535F03" w:rsidP="00735E14">
      <w:r>
        <w:rPr>
          <w:noProof/>
        </w:rPr>
        <w:drawing>
          <wp:anchor distT="0" distB="0" distL="114300" distR="114300" simplePos="0" relativeHeight="251659264" behindDoc="0" locked="0" layoutInCell="1" allowOverlap="1" wp14:anchorId="5BC60240" wp14:editId="56514B02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1049655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0AA74" w14:textId="2B582338" w:rsidR="00456AF5" w:rsidRDefault="00456AF5" w:rsidP="00735E14"/>
    <w:p w14:paraId="22B4925B" w14:textId="77777777" w:rsidR="00535F03" w:rsidRDefault="00535F03" w:rsidP="00735E14">
      <w:pPr>
        <w:rPr>
          <w:b/>
          <w:bCs/>
          <w:sz w:val="28"/>
          <w:szCs w:val="28"/>
        </w:rPr>
      </w:pPr>
    </w:p>
    <w:p w14:paraId="6F4BF794" w14:textId="07B76BF0" w:rsidR="00456AF5" w:rsidRPr="00C40D18" w:rsidRDefault="00456AF5" w:rsidP="00735E14">
      <w:pPr>
        <w:rPr>
          <w:b/>
          <w:bCs/>
          <w:sz w:val="28"/>
          <w:szCs w:val="28"/>
        </w:rPr>
      </w:pPr>
      <w:r w:rsidRPr="00C40D18">
        <w:rPr>
          <w:b/>
          <w:bCs/>
          <w:sz w:val="28"/>
          <w:szCs w:val="28"/>
        </w:rPr>
        <w:t>Yorkshire and Humber Tea &amp;…</w:t>
      </w:r>
      <w:r w:rsidR="00C40D18" w:rsidRPr="00C40D18">
        <w:rPr>
          <w:b/>
          <w:bCs/>
          <w:sz w:val="28"/>
          <w:szCs w:val="28"/>
        </w:rPr>
        <w:t>Meeting Notes</w:t>
      </w:r>
    </w:p>
    <w:p w14:paraId="5ECFB091" w14:textId="209A1EE5" w:rsidR="00456AF5" w:rsidRDefault="00456AF5" w:rsidP="00735E14">
      <w:pPr>
        <w:rPr>
          <w:b/>
          <w:bCs/>
        </w:rPr>
      </w:pPr>
      <w:r w:rsidRPr="00C40D18">
        <w:rPr>
          <w:b/>
          <w:bCs/>
        </w:rPr>
        <w:t>Thursday</w:t>
      </w:r>
      <w:r w:rsidR="00907E7C">
        <w:rPr>
          <w:b/>
          <w:bCs/>
        </w:rPr>
        <w:t xml:space="preserve"> 21</w:t>
      </w:r>
      <w:r w:rsidRPr="00C40D18">
        <w:rPr>
          <w:b/>
          <w:bCs/>
          <w:vertAlign w:val="superscript"/>
        </w:rPr>
        <w:t>h</w:t>
      </w:r>
      <w:r w:rsidRPr="00C40D18">
        <w:rPr>
          <w:b/>
          <w:bCs/>
        </w:rPr>
        <w:t xml:space="preserve"> May 2020</w:t>
      </w:r>
      <w:r w:rsidR="00C40D18">
        <w:rPr>
          <w:b/>
          <w:bCs/>
        </w:rPr>
        <w:t>, 3.15-4.30pm via CHWA Zoom</w:t>
      </w:r>
    </w:p>
    <w:p w14:paraId="5EF520AA" w14:textId="77777777" w:rsidR="00535F03" w:rsidRPr="00C40D18" w:rsidRDefault="00535F03" w:rsidP="00735E14">
      <w:pPr>
        <w:rPr>
          <w:b/>
          <w:bCs/>
        </w:rPr>
      </w:pPr>
    </w:p>
    <w:p w14:paraId="07F3D087" w14:textId="58FEC04E" w:rsidR="00907E7C" w:rsidRDefault="00456AF5" w:rsidP="00735E14">
      <w:r>
        <w:t>Attendees: Deborah Munt</w:t>
      </w:r>
      <w:r w:rsidR="00535F03">
        <w:t xml:space="preserve"> (Artist, consultant, Ministry of Others, CHWA Regional Champion and Board member),</w:t>
      </w:r>
      <w:r>
        <w:t xml:space="preserve"> Katharine Boardman (NHLF), Geraldine Montgomerie (Leeds Arts, Health and Wellbeing Network/ practitioner), Victoria </w:t>
      </w:r>
      <w:proofErr w:type="spellStart"/>
      <w:r>
        <w:t>Ryves</w:t>
      </w:r>
      <w:proofErr w:type="spellEnd"/>
      <w:r>
        <w:t xml:space="preserve"> (Heritage Doncaster),</w:t>
      </w:r>
      <w:r w:rsidR="00907E7C">
        <w:t xml:space="preserve"> Sara </w:t>
      </w:r>
      <w:proofErr w:type="spellStart"/>
      <w:r w:rsidR="00907E7C">
        <w:t>Sheerwood</w:t>
      </w:r>
      <w:proofErr w:type="spellEnd"/>
      <w:r w:rsidR="00907E7C">
        <w:t xml:space="preserve"> (Creative Scene), Bea Wright (Hepworth Wakefield</w:t>
      </w:r>
      <w:proofErr w:type="gramStart"/>
      <w:r w:rsidR="00907E7C">
        <w:t xml:space="preserve">), </w:t>
      </w:r>
      <w:r>
        <w:t xml:space="preserve"> </w:t>
      </w:r>
      <w:r w:rsidR="00535F03">
        <w:t>Hayley</w:t>
      </w:r>
      <w:proofErr w:type="gramEnd"/>
      <w:r w:rsidR="00535F03">
        <w:t xml:space="preserve"> Youell (CHWA)</w:t>
      </w:r>
    </w:p>
    <w:p w14:paraId="56C2EB0F" w14:textId="31659087" w:rsidR="00350907" w:rsidRDefault="00907E7C" w:rsidP="00735E14">
      <w:r>
        <w:t xml:space="preserve">The meeting was chaired by Deborah Munt, CHWA Regional Champion Y&amp;H (arts). These notes have been made </w:t>
      </w:r>
      <w:r w:rsidR="00DD0039">
        <w:t xml:space="preserve">predominantly </w:t>
      </w:r>
      <w:r>
        <w:t>anonymous, reflecting key themes and issues for the sector.</w:t>
      </w:r>
    </w:p>
    <w:p w14:paraId="0CEDDED8" w14:textId="7C4653BE" w:rsidR="00350907" w:rsidRDefault="00907E7C" w:rsidP="00735E14">
      <w:pPr>
        <w:rPr>
          <w:b/>
          <w:bCs/>
        </w:rPr>
      </w:pPr>
      <w:r>
        <w:rPr>
          <w:b/>
          <w:bCs/>
        </w:rPr>
        <w:t>Observations</w:t>
      </w:r>
      <w:r w:rsidR="00D75DBC">
        <w:rPr>
          <w:b/>
          <w:bCs/>
        </w:rPr>
        <w:t xml:space="preserve">/ Experiences and </w:t>
      </w:r>
      <w:r>
        <w:rPr>
          <w:b/>
          <w:bCs/>
        </w:rPr>
        <w:t>Questions</w:t>
      </w:r>
    </w:p>
    <w:p w14:paraId="58F36E2A" w14:textId="6E39DE4F" w:rsidR="00D75DBC" w:rsidRPr="000C6AF0" w:rsidRDefault="00D75DBC" w:rsidP="00735E14">
      <w:pPr>
        <w:rPr>
          <w:b/>
          <w:bCs/>
        </w:rPr>
      </w:pPr>
      <w:r>
        <w:rPr>
          <w:b/>
          <w:bCs/>
        </w:rPr>
        <w:t>Funding</w:t>
      </w:r>
      <w:r w:rsidR="0062234E">
        <w:rPr>
          <w:b/>
          <w:bCs/>
        </w:rPr>
        <w:t xml:space="preserve">, </w:t>
      </w:r>
      <w:r>
        <w:rPr>
          <w:b/>
          <w:bCs/>
        </w:rPr>
        <w:t>Support</w:t>
      </w:r>
      <w:r w:rsidR="0062234E">
        <w:rPr>
          <w:b/>
          <w:bCs/>
        </w:rPr>
        <w:t xml:space="preserve"> and Opportunities </w:t>
      </w:r>
    </w:p>
    <w:p w14:paraId="72DD3081" w14:textId="4A75DA4E" w:rsidR="00350907" w:rsidRDefault="007D4596" w:rsidP="00907E7C">
      <w:pPr>
        <w:pStyle w:val="ListParagraph"/>
        <w:numPr>
          <w:ilvl w:val="0"/>
          <w:numId w:val="5"/>
        </w:numPr>
      </w:pPr>
      <w:hyperlink r:id="rId6" w:history="1">
        <w:r w:rsidR="00907E7C" w:rsidRPr="000D4E57">
          <w:rPr>
            <w:rStyle w:val="Hyperlink"/>
          </w:rPr>
          <w:t>N</w:t>
        </w:r>
        <w:r w:rsidR="000D4E57" w:rsidRPr="000D4E57">
          <w:rPr>
            <w:rStyle w:val="Hyperlink"/>
          </w:rPr>
          <w:t>ational Lottery Heritage Fund’s Respon</w:t>
        </w:r>
        <w:r w:rsidR="000D4E57">
          <w:rPr>
            <w:rStyle w:val="Hyperlink"/>
          </w:rPr>
          <w:t>ding to Coronavirus (</w:t>
        </w:r>
        <w:proofErr w:type="spellStart"/>
        <w:r w:rsidR="000D4E57" w:rsidRPr="000D4E57">
          <w:rPr>
            <w:rStyle w:val="Hyperlink"/>
          </w:rPr>
          <w:t>Covid</w:t>
        </w:r>
        <w:proofErr w:type="spellEnd"/>
        <w:r w:rsidR="000D4E57" w:rsidRPr="000D4E57">
          <w:rPr>
            <w:rStyle w:val="Hyperlink"/>
          </w:rPr>
          <w:t xml:space="preserve"> 19</w:t>
        </w:r>
      </w:hyperlink>
      <w:r w:rsidR="000D4E57">
        <w:t xml:space="preserve">) funding programme is </w:t>
      </w:r>
      <w:r w:rsidR="00350907">
        <w:t>open</w:t>
      </w:r>
      <w:r w:rsidR="000D4E57">
        <w:t xml:space="preserve">. They are also </w:t>
      </w:r>
      <w:r w:rsidR="00350907">
        <w:t>helping organisations around what re-opening and social distancing will mean</w:t>
      </w:r>
      <w:r w:rsidR="000D4E57">
        <w:t xml:space="preserve"> for operations and practice.</w:t>
      </w:r>
    </w:p>
    <w:p w14:paraId="37CB5DD0" w14:textId="62904988" w:rsidR="00D75DBC" w:rsidRDefault="00D75DBC" w:rsidP="00D75DBC">
      <w:pPr>
        <w:pStyle w:val="ListParagraph"/>
        <w:numPr>
          <w:ilvl w:val="0"/>
          <w:numId w:val="5"/>
        </w:numPr>
      </w:pPr>
      <w:r>
        <w:t>Paul Hamlyn Foundation has been a really supportive funder.</w:t>
      </w:r>
    </w:p>
    <w:p w14:paraId="5BF5FE21" w14:textId="53A8EDFE" w:rsidR="00D75DBC" w:rsidRDefault="00D75DBC" w:rsidP="00D75DBC">
      <w:pPr>
        <w:pStyle w:val="ListParagraph"/>
        <w:numPr>
          <w:ilvl w:val="0"/>
          <w:numId w:val="5"/>
        </w:numPr>
      </w:pPr>
      <w:r>
        <w:t>Leeds Arts, Health and Wellbeing Network</w:t>
      </w:r>
      <w:r w:rsidR="0062234E">
        <w:t xml:space="preserve"> (LAHWN)</w:t>
      </w:r>
      <w:r>
        <w:t xml:space="preserve"> funding has been extended until 2022</w:t>
      </w:r>
      <w:r w:rsidR="0062234E">
        <w:t xml:space="preserve">. </w:t>
      </w:r>
    </w:p>
    <w:p w14:paraId="3E368DDB" w14:textId="54A33515" w:rsidR="0062234E" w:rsidRDefault="009F45DC" w:rsidP="009F45DC">
      <w:pPr>
        <w:pStyle w:val="ListParagraph"/>
        <w:numPr>
          <w:ilvl w:val="0"/>
          <w:numId w:val="5"/>
        </w:numPr>
      </w:pPr>
      <w:hyperlink r:id="rId7" w:history="1">
        <w:r w:rsidRPr="009F45DC">
          <w:rPr>
            <w:rStyle w:val="Hyperlink"/>
          </w:rPr>
          <w:t>Beyond Measure Programme</w:t>
        </w:r>
      </w:hyperlink>
      <w:r>
        <w:t xml:space="preserve">, </w:t>
      </w:r>
      <w:r w:rsidRPr="009F45DC">
        <w:rPr>
          <w:i/>
          <w:iCs/>
        </w:rPr>
        <w:t>Exploring Research and Evidence in Arts and Health</w:t>
      </w:r>
      <w:r>
        <w:t xml:space="preserve">, July-November </w:t>
      </w:r>
      <w:proofErr w:type="gramStart"/>
      <w:r>
        <w:t xml:space="preserve">2020 </w:t>
      </w:r>
      <w:r w:rsidR="007D4596">
        <w:t xml:space="preserve"> (</w:t>
      </w:r>
      <w:proofErr w:type="gramEnd"/>
      <w:r w:rsidR="007D4596">
        <w:t>tbc)</w:t>
      </w:r>
    </w:p>
    <w:p w14:paraId="05DD1461" w14:textId="6EBF5828" w:rsidR="0062234E" w:rsidRDefault="0062234E" w:rsidP="00D75DBC">
      <w:pPr>
        <w:pStyle w:val="ListParagraph"/>
        <w:numPr>
          <w:ilvl w:val="0"/>
          <w:numId w:val="5"/>
        </w:numPr>
      </w:pPr>
      <w:r>
        <w:t>LAHWN- interest areas: gender inequality in practice and research. How can we make research more accessible through using the arts?</w:t>
      </w:r>
    </w:p>
    <w:p w14:paraId="72B05E0E" w14:textId="4B3FA7DE" w:rsidR="009F45DC" w:rsidRPr="009F45DC" w:rsidRDefault="0062234E" w:rsidP="007D4596">
      <w:pPr>
        <w:pStyle w:val="ListParagraph"/>
        <w:numPr>
          <w:ilvl w:val="0"/>
          <w:numId w:val="5"/>
        </w:numPr>
      </w:pPr>
      <w:r>
        <w:t xml:space="preserve">GM- </w:t>
      </w:r>
      <w:r>
        <w:t>What can health learn from arts and vice-versa? Physical and mental health/wellbeing</w:t>
      </w:r>
      <w:r>
        <w:t xml:space="preserve">. Is there space for developing a programme in which established professionals can support emerging professionals, across the sectors of art and health? </w:t>
      </w:r>
    </w:p>
    <w:p w14:paraId="7BF746C7" w14:textId="1DC31748" w:rsidR="009F45DC" w:rsidRDefault="009F45DC" w:rsidP="009F45DC">
      <w:pPr>
        <w:rPr>
          <w:b/>
          <w:bCs/>
        </w:rPr>
      </w:pPr>
      <w:r w:rsidRPr="009F45DC">
        <w:rPr>
          <w:b/>
          <w:bCs/>
        </w:rPr>
        <w:t>Emotional Labour/ Staff Support</w:t>
      </w:r>
    </w:p>
    <w:p w14:paraId="020406C1" w14:textId="1B30498F" w:rsidR="009F45DC" w:rsidRDefault="00DD0039" w:rsidP="009F45DC">
      <w:pPr>
        <w:pStyle w:val="ListParagraph"/>
        <w:numPr>
          <w:ilvl w:val="0"/>
          <w:numId w:val="5"/>
        </w:numPr>
      </w:pPr>
      <w:r>
        <w:t xml:space="preserve">Doncaster Museums are working with </w:t>
      </w:r>
      <w:r w:rsidR="009F45DC">
        <w:t>MIND in Doncaster and Cultural Network to develop peer support/supervision mechanisms</w:t>
      </w:r>
    </w:p>
    <w:p w14:paraId="301F3843" w14:textId="20665261" w:rsidR="009F45DC" w:rsidRDefault="009F45DC" w:rsidP="009F45DC">
      <w:pPr>
        <w:pStyle w:val="ListParagraph"/>
        <w:numPr>
          <w:ilvl w:val="0"/>
          <w:numId w:val="5"/>
        </w:numPr>
      </w:pPr>
      <w:r>
        <w:t>Challenges in cultural organisations if safeguarding leads are furloughed and not around for day to day support- falls to programme leads</w:t>
      </w:r>
    </w:p>
    <w:p w14:paraId="107303B8" w14:textId="4012C8A2" w:rsidR="00DD0039" w:rsidRDefault="00DD0039" w:rsidP="009F45DC">
      <w:pPr>
        <w:pStyle w:val="ListParagraph"/>
        <w:numPr>
          <w:ilvl w:val="0"/>
          <w:numId w:val="5"/>
        </w:numPr>
      </w:pPr>
      <w:r>
        <w:t>Confidence in safeguarding policies and knowledge in this new context.</w:t>
      </w:r>
    </w:p>
    <w:p w14:paraId="2222B0C1" w14:textId="15D07035" w:rsidR="009F45DC" w:rsidRDefault="00DD0039" w:rsidP="009F45DC">
      <w:pPr>
        <w:pStyle w:val="ListParagraph"/>
        <w:numPr>
          <w:ilvl w:val="0"/>
          <w:numId w:val="5"/>
        </w:numPr>
      </w:pPr>
      <w:r>
        <w:t>Access difficulties</w:t>
      </w:r>
      <w:r w:rsidR="009F45DC">
        <w:t xml:space="preserve"> for vulnerable young people to mobile phones, devices</w:t>
      </w:r>
      <w:r>
        <w:t xml:space="preserve"> and the challenge of checking in with these groups/</w:t>
      </w:r>
    </w:p>
    <w:p w14:paraId="66B04EFE" w14:textId="750AE5E3" w:rsidR="00DD0039" w:rsidRDefault="00DD0039" w:rsidP="00DD0039">
      <w:pPr>
        <w:pStyle w:val="ListParagraph"/>
        <w:numPr>
          <w:ilvl w:val="0"/>
          <w:numId w:val="5"/>
        </w:numPr>
      </w:pPr>
      <w:r>
        <w:t>Challenges of determining welfare/safeguarding issues without physical contact/presence- you can’t always tell if someone is okay?</w:t>
      </w:r>
    </w:p>
    <w:p w14:paraId="419F4991" w14:textId="29D5BD03" w:rsidR="00DD0039" w:rsidRDefault="00DD0039" w:rsidP="00DD0039">
      <w:pPr>
        <w:pStyle w:val="ListParagraph"/>
        <w:numPr>
          <w:ilvl w:val="0"/>
          <w:numId w:val="5"/>
        </w:numPr>
      </w:pPr>
      <w:r>
        <w:t>Many cultural/</w:t>
      </w:r>
      <w:proofErr w:type="gramStart"/>
      <w:r>
        <w:t>events based</w:t>
      </w:r>
      <w:proofErr w:type="gramEnd"/>
      <w:r>
        <w:t xml:space="preserve"> organisations employ c</w:t>
      </w:r>
      <w:r>
        <w:t>asual staff</w:t>
      </w:r>
      <w:r>
        <w:t xml:space="preserve"> from </w:t>
      </w:r>
      <w:r>
        <w:t>really diverse backgrounds</w:t>
      </w:r>
      <w:r>
        <w:t>. How can you support these workers, as</w:t>
      </w:r>
      <w:r>
        <w:t xml:space="preserve"> they don’t have traditional work structures</w:t>
      </w:r>
      <w:r>
        <w:t xml:space="preserve">? And how do you do this </w:t>
      </w:r>
      <w:r>
        <w:t>without imposing any burden</w:t>
      </w:r>
      <w:r>
        <w:t xml:space="preserve"> to them?</w:t>
      </w:r>
    </w:p>
    <w:p w14:paraId="10AE8175" w14:textId="71B1BAFD" w:rsidR="009F45DC" w:rsidRPr="007D4596" w:rsidRDefault="00DD0039" w:rsidP="009F45DC">
      <w:pPr>
        <w:pStyle w:val="ListParagraph"/>
        <w:numPr>
          <w:ilvl w:val="0"/>
          <w:numId w:val="5"/>
        </w:numPr>
      </w:pPr>
      <w:r>
        <w:lastRenderedPageBreak/>
        <w:t>Focus has shifted from cultural activity to emergency response- supporting fellow community organisations to deliver food banks and other services. This shift brings new demands and raises questions identity/purpose- how can we be most useful?</w:t>
      </w:r>
    </w:p>
    <w:p w14:paraId="4BFA2C41" w14:textId="6FA05143" w:rsidR="00D75DBC" w:rsidRPr="00D75DBC" w:rsidRDefault="00D75DBC" w:rsidP="00D75DBC">
      <w:pPr>
        <w:rPr>
          <w:b/>
          <w:bCs/>
        </w:rPr>
      </w:pPr>
      <w:r w:rsidRPr="00D75DBC">
        <w:rPr>
          <w:b/>
          <w:bCs/>
        </w:rPr>
        <w:t xml:space="preserve">Sustainability and </w:t>
      </w:r>
      <w:r>
        <w:rPr>
          <w:b/>
          <w:bCs/>
        </w:rPr>
        <w:t>Impact on Practice</w:t>
      </w:r>
    </w:p>
    <w:p w14:paraId="75AA820B" w14:textId="77F935F9" w:rsidR="00907E7C" w:rsidRDefault="00907E7C" w:rsidP="00907E7C">
      <w:pPr>
        <w:pStyle w:val="ListParagraph"/>
        <w:numPr>
          <w:ilvl w:val="0"/>
          <w:numId w:val="5"/>
        </w:numPr>
      </w:pPr>
      <w:r>
        <w:t>Big questions</w:t>
      </w:r>
      <w:r w:rsidR="000D4E57">
        <w:t xml:space="preserve"> emerging</w:t>
      </w:r>
      <w:r>
        <w:t xml:space="preserve"> for the sector: Is it viable to re-open museums/cultural venues? The ones that have become more resilient with different income streams are now more vulnerable. What does this mean for the future</w:t>
      </w:r>
      <w:r w:rsidR="000D4E57">
        <w:t>/sustainability</w:t>
      </w:r>
      <w:r>
        <w:t xml:space="preserve"> of the sector</w:t>
      </w:r>
      <w:r w:rsidR="000D4E57">
        <w:t xml:space="preserve"> long-term?</w:t>
      </w:r>
    </w:p>
    <w:p w14:paraId="17CF97F9" w14:textId="6B8F1C46" w:rsidR="00907E7C" w:rsidRDefault="00907E7C" w:rsidP="00907E7C">
      <w:pPr>
        <w:pStyle w:val="ListParagraph"/>
        <w:numPr>
          <w:ilvl w:val="0"/>
          <w:numId w:val="5"/>
        </w:numPr>
      </w:pPr>
      <w:r>
        <w:t>The challenge of different local authorities planning differently- how can we co-ordinate a collective response?</w:t>
      </w:r>
    </w:p>
    <w:p w14:paraId="42EC4526" w14:textId="368946A1" w:rsidR="009F45DC" w:rsidRDefault="00907E7C" w:rsidP="009F45DC">
      <w:pPr>
        <w:pStyle w:val="ListParagraph"/>
        <w:numPr>
          <w:ilvl w:val="0"/>
          <w:numId w:val="5"/>
        </w:numPr>
      </w:pPr>
      <w:r>
        <w:t>There is e</w:t>
      </w:r>
      <w:r w:rsidR="00BC05A7">
        <w:t>xtra pressure</w:t>
      </w:r>
      <w:r>
        <w:t xml:space="preserve"> on the cultural/community sector to respond matched with an overwhelming </w:t>
      </w:r>
      <w:r w:rsidR="00BC05A7">
        <w:t>community of spirit</w:t>
      </w:r>
      <w:r>
        <w:t>. C</w:t>
      </w:r>
      <w:r w:rsidR="00BC05A7">
        <w:t>ontinu</w:t>
      </w:r>
      <w:r>
        <w:t>ing</w:t>
      </w:r>
      <w:r w:rsidR="00BC05A7">
        <w:t xml:space="preserve"> to make the case for herit</w:t>
      </w:r>
      <w:r w:rsidR="00925AD8">
        <w:t>ag</w:t>
      </w:r>
      <w:r w:rsidR="00BC05A7">
        <w:t>e, culture and the value they have</w:t>
      </w:r>
      <w:r>
        <w:t xml:space="preserve"> is es</w:t>
      </w:r>
      <w:r w:rsidR="000D4E57">
        <w:t>s</w:t>
      </w:r>
      <w:r>
        <w:t xml:space="preserve">ential, yet </w:t>
      </w:r>
      <w:r w:rsidR="00BC05A7">
        <w:t xml:space="preserve">not </w:t>
      </w:r>
      <w:r>
        <w:t xml:space="preserve">positioning the work as a </w:t>
      </w:r>
      <w:r w:rsidR="00BC05A7">
        <w:t>replacement for statutory services</w:t>
      </w:r>
    </w:p>
    <w:p w14:paraId="4B6763D5" w14:textId="3AF761A9" w:rsidR="00DD0039" w:rsidRDefault="00DD0039" w:rsidP="009F45DC">
      <w:pPr>
        <w:pStyle w:val="ListParagraph"/>
        <w:numPr>
          <w:ilvl w:val="0"/>
          <w:numId w:val="5"/>
        </w:numPr>
      </w:pPr>
      <w:r>
        <w:t>Access- the digital inclusion gap! How can we support people of all ages without digital access?</w:t>
      </w:r>
    </w:p>
    <w:p w14:paraId="4E2D1B4B" w14:textId="60C38033" w:rsidR="00D75DBC" w:rsidRDefault="00D75DBC" w:rsidP="009F45DC">
      <w:pPr>
        <w:pStyle w:val="ListParagraph"/>
        <w:numPr>
          <w:ilvl w:val="0"/>
          <w:numId w:val="5"/>
        </w:numPr>
      </w:pPr>
      <w:r>
        <w:t>Concerns for museum</w:t>
      </w:r>
      <w:r w:rsidR="009F45DC">
        <w:t>/cultural</w:t>
      </w:r>
      <w:r>
        <w:t xml:space="preserve"> professionals that enforced social distancing measures will impact the practice and way that people interact/engage with museums and archives- will it push the practice back?</w:t>
      </w:r>
      <w:r w:rsidR="009F45DC">
        <w:t xml:space="preserve"> </w:t>
      </w:r>
      <w:r w:rsidR="009F45DC">
        <w:t>How we adapt – everything is so sensory and tactile- how are we going to run our dementia programme?</w:t>
      </w:r>
    </w:p>
    <w:p w14:paraId="1161DB42" w14:textId="692E676F" w:rsidR="0062234E" w:rsidRDefault="0062234E" w:rsidP="00D75DBC">
      <w:pPr>
        <w:pStyle w:val="ListParagraph"/>
        <w:numPr>
          <w:ilvl w:val="0"/>
          <w:numId w:val="5"/>
        </w:numPr>
      </w:pPr>
      <w:r>
        <w:t>Are there any examples of offline activities that are ambitious beyond Art Packs and telephone services?</w:t>
      </w:r>
    </w:p>
    <w:p w14:paraId="1D4505FC" w14:textId="71C19D2A" w:rsidR="00D75DBC" w:rsidRDefault="00D75DBC" w:rsidP="00D75DBC">
      <w:pPr>
        <w:pStyle w:val="ListParagraph"/>
        <w:numPr>
          <w:ilvl w:val="0"/>
          <w:numId w:val="5"/>
        </w:numPr>
      </w:pPr>
      <w:r>
        <w:t>Positive Impact: more engagement from comms and local councillors in practice and the value of culture on health and wellbeing. How can we sustain this?</w:t>
      </w:r>
    </w:p>
    <w:p w14:paraId="2BB75463" w14:textId="3F6A6D3B" w:rsidR="00DD0039" w:rsidRDefault="00DD0039" w:rsidP="00D75DBC">
      <w:pPr>
        <w:pStyle w:val="ListParagraph"/>
        <w:numPr>
          <w:ilvl w:val="0"/>
          <w:numId w:val="5"/>
        </w:numPr>
      </w:pPr>
      <w:r>
        <w:t>Positive impact: time to do some focus groups for audience development</w:t>
      </w:r>
    </w:p>
    <w:p w14:paraId="70ED4C4B" w14:textId="76CA5EBE" w:rsidR="00DD0039" w:rsidRDefault="00DD0039" w:rsidP="00D75DBC">
      <w:pPr>
        <w:pStyle w:val="ListParagraph"/>
        <w:numPr>
          <w:ilvl w:val="0"/>
          <w:numId w:val="5"/>
        </w:numPr>
      </w:pPr>
      <w:r>
        <w:t>Positive impact: ownership and reclaiming of outdoor/public spaces- BW referenced the benefit and increased engagement in the community garden space at The Hepworth. The gardener has been working full-time, and interacting safely with people finding sanctuary in the space.</w:t>
      </w:r>
    </w:p>
    <w:p w14:paraId="0B1747B7" w14:textId="5EF14149" w:rsidR="00D75DBC" w:rsidRPr="007D4596" w:rsidRDefault="00D75DBC" w:rsidP="00D75DBC">
      <w:pPr>
        <w:pStyle w:val="ListParagraph"/>
        <w:numPr>
          <w:ilvl w:val="0"/>
          <w:numId w:val="5"/>
        </w:numPr>
      </w:pPr>
      <w:r>
        <w:t xml:space="preserve">How do we translate the value, the social purpose of what we do- and make it relevant for participants and the </w:t>
      </w:r>
      <w:proofErr w:type="gramStart"/>
      <w:r>
        <w:t>community?</w:t>
      </w:r>
      <w:r w:rsidR="0062234E">
        <w:t>*</w:t>
      </w:r>
      <w:proofErr w:type="gramEnd"/>
    </w:p>
    <w:p w14:paraId="1807B0DF" w14:textId="302A2AD0" w:rsidR="00D75DBC" w:rsidRPr="0062234E" w:rsidRDefault="00D75DBC" w:rsidP="0062234E">
      <w:pPr>
        <w:rPr>
          <w:b/>
          <w:bCs/>
        </w:rPr>
      </w:pPr>
      <w:r w:rsidRPr="00D75DBC">
        <w:rPr>
          <w:b/>
          <w:bCs/>
        </w:rPr>
        <w:t>Resources</w:t>
      </w:r>
      <w:r>
        <w:rPr>
          <w:b/>
          <w:bCs/>
        </w:rPr>
        <w:t>/References</w:t>
      </w:r>
    </w:p>
    <w:p w14:paraId="538F9B73" w14:textId="6E0B52B8" w:rsidR="000C6AF0" w:rsidRDefault="0062234E" w:rsidP="0062234E">
      <w:pPr>
        <w:pStyle w:val="ListParagraph"/>
        <w:numPr>
          <w:ilvl w:val="0"/>
          <w:numId w:val="6"/>
        </w:numPr>
      </w:pPr>
      <w:r>
        <w:t>*HY emailed AHSW for Lord Howarth’s speech at International Conference 2013 as referenced by DM</w:t>
      </w:r>
    </w:p>
    <w:p w14:paraId="43CE118F" w14:textId="00F1F7DD" w:rsidR="000C6AF0" w:rsidRPr="007D4596" w:rsidRDefault="0062234E" w:rsidP="00735E14">
      <w:pPr>
        <w:pStyle w:val="ListParagraph"/>
        <w:numPr>
          <w:ilvl w:val="0"/>
          <w:numId w:val="6"/>
        </w:numPr>
        <w:rPr>
          <w:rFonts w:cstheme="minorHAnsi"/>
        </w:rPr>
      </w:pPr>
      <w:r w:rsidRPr="0062234E">
        <w:rPr>
          <w:rFonts w:cstheme="minorHAnsi"/>
        </w:rPr>
        <w:t xml:space="preserve">Post event KB emailed a link to the </w:t>
      </w:r>
      <w:hyperlink r:id="rId8" w:history="1">
        <w:r w:rsidRPr="0062234E">
          <w:rPr>
            <w:rStyle w:val="Hyperlink"/>
            <w:rFonts w:cstheme="minorHAnsi"/>
            <w:shd w:val="clear" w:color="auto" w:fill="FBFBFB"/>
          </w:rPr>
          <w:t>Digital Skills for Heritage webinar: Working online with children and young people</w:t>
        </w:r>
      </w:hyperlink>
      <w:r w:rsidRPr="0062234E">
        <w:rPr>
          <w:rFonts w:cstheme="minorHAnsi"/>
          <w:shd w:val="clear" w:color="auto" w:fill="FBFBFB"/>
        </w:rPr>
        <w:t xml:space="preserve">. </w:t>
      </w:r>
    </w:p>
    <w:p w14:paraId="5DBE8771" w14:textId="77777777" w:rsidR="007D4596" w:rsidRPr="007D4596" w:rsidRDefault="007D4596" w:rsidP="007D4596">
      <w:pPr>
        <w:pStyle w:val="ListParagraph"/>
        <w:rPr>
          <w:rFonts w:cstheme="minorHAnsi"/>
        </w:rPr>
      </w:pPr>
    </w:p>
    <w:p w14:paraId="4C1118A5" w14:textId="7A85F88B" w:rsidR="007D4596" w:rsidRPr="007D4596" w:rsidRDefault="007D4596" w:rsidP="00735E14">
      <w:pPr>
        <w:rPr>
          <w:b/>
          <w:bCs/>
        </w:rPr>
      </w:pPr>
      <w:r w:rsidRPr="007D4596">
        <w:rPr>
          <w:b/>
          <w:bCs/>
        </w:rPr>
        <w:t>Next Meeting Dates</w:t>
      </w:r>
      <w:r>
        <w:rPr>
          <w:b/>
          <w:bCs/>
        </w:rPr>
        <w:t xml:space="preserve">- </w:t>
      </w:r>
    </w:p>
    <w:p w14:paraId="19259637" w14:textId="31471037" w:rsidR="000C6AF0" w:rsidRDefault="007D4596" w:rsidP="00735E14">
      <w:r>
        <w:t>Thursdays 4</w:t>
      </w:r>
      <w:r w:rsidRPr="007D4596">
        <w:rPr>
          <w:vertAlign w:val="superscript"/>
        </w:rPr>
        <w:t>th</w:t>
      </w:r>
      <w:r>
        <w:t xml:space="preserve"> and 18</w:t>
      </w:r>
      <w:r w:rsidRPr="007D4596">
        <w:rPr>
          <w:vertAlign w:val="superscript"/>
        </w:rPr>
        <w:t>th</w:t>
      </w:r>
      <w:r>
        <w:t xml:space="preserve"> June, 3.15-4.15pm</w:t>
      </w:r>
    </w:p>
    <w:p w14:paraId="480765E0" w14:textId="009CD673" w:rsidR="007D4596" w:rsidRDefault="007D4596" w:rsidP="007D4596">
      <w:hyperlink r:id="rId9" w:history="1">
        <w:r w:rsidRPr="00965B92">
          <w:rPr>
            <w:rStyle w:val="Hyperlink"/>
          </w:rPr>
          <w:t>https://us02web.zoom.us/j/93491563838?pwd=a3BuWmt0UWp4MlhydllRNkdSLy8rZz09</w:t>
        </w:r>
      </w:hyperlink>
    </w:p>
    <w:p w14:paraId="76D7DD1C" w14:textId="77777777" w:rsidR="007D4596" w:rsidRDefault="007D4596" w:rsidP="007D4596">
      <w:r>
        <w:t>Meeting ID: 934 9156 3838</w:t>
      </w:r>
    </w:p>
    <w:p w14:paraId="69D84DAB" w14:textId="524A7095" w:rsidR="00735E14" w:rsidRDefault="007D4596" w:rsidP="007D4596">
      <w:r>
        <w:t>Password: 063701</w:t>
      </w:r>
    </w:p>
    <w:sectPr w:rsidR="00735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F12FE"/>
    <w:multiLevelType w:val="hybridMultilevel"/>
    <w:tmpl w:val="B5DA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072F64"/>
    <w:multiLevelType w:val="hybridMultilevel"/>
    <w:tmpl w:val="AE02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6055"/>
    <w:multiLevelType w:val="hybridMultilevel"/>
    <w:tmpl w:val="D9F0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A2536"/>
    <w:multiLevelType w:val="hybridMultilevel"/>
    <w:tmpl w:val="B4BA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BC3394"/>
    <w:multiLevelType w:val="hybridMultilevel"/>
    <w:tmpl w:val="038E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BA3043"/>
    <w:multiLevelType w:val="hybridMultilevel"/>
    <w:tmpl w:val="5C62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14"/>
    <w:rsid w:val="000C6AF0"/>
    <w:rsid w:val="000D4E57"/>
    <w:rsid w:val="000F7C72"/>
    <w:rsid w:val="00350907"/>
    <w:rsid w:val="004259C1"/>
    <w:rsid w:val="00456AF5"/>
    <w:rsid w:val="00535F03"/>
    <w:rsid w:val="00542287"/>
    <w:rsid w:val="0056243E"/>
    <w:rsid w:val="0062234E"/>
    <w:rsid w:val="00735E14"/>
    <w:rsid w:val="007D4596"/>
    <w:rsid w:val="0084541D"/>
    <w:rsid w:val="00905C38"/>
    <w:rsid w:val="00907E7C"/>
    <w:rsid w:val="00925AD8"/>
    <w:rsid w:val="009F45DC"/>
    <w:rsid w:val="00B3698E"/>
    <w:rsid w:val="00BC05A7"/>
    <w:rsid w:val="00C40D18"/>
    <w:rsid w:val="00CA2E51"/>
    <w:rsid w:val="00D75DBC"/>
    <w:rsid w:val="00D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1C32"/>
  <w15:chartTrackingRefBased/>
  <w15:docId w15:val="{690D7BFA-4445-4781-8143-E0A05AFC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6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cketsource.co.uk/digital-skills-for-heritage/digital-skills-for-heritage-webinar-working-online-with-children-and-young-people/2020-06-04/14:00/t-oodgk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chi.mp/87c4c32fc153/cultural-institute-newsletter-124228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itagefund.org.uk/responding-coronavirus-covid-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93491563838?pwd=a3BuWmt0UWp4MlhydllRNkdSLy8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Youell</dc:creator>
  <cp:keywords/>
  <dc:description/>
  <cp:lastModifiedBy>Hayley Youell</cp:lastModifiedBy>
  <cp:revision>9</cp:revision>
  <dcterms:created xsi:type="dcterms:W3CDTF">2020-05-21T14:36:00Z</dcterms:created>
  <dcterms:modified xsi:type="dcterms:W3CDTF">2020-05-28T15:53:00Z</dcterms:modified>
</cp:coreProperties>
</file>